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A40" w:rsidRDefault="00B23A40">
      <w:pPr>
        <w:spacing w:line="360" w:lineRule="auto"/>
        <w:ind w:firstLineChars="200" w:firstLine="960"/>
        <w:rPr>
          <w:rFonts w:ascii="宋体" w:cs="Times New Roman"/>
          <w:sz w:val="48"/>
          <w:szCs w:val="48"/>
        </w:rPr>
      </w:pPr>
      <w:bookmarkStart w:id="0" w:name="_GoBack"/>
      <w:bookmarkEnd w:id="0"/>
    </w:p>
    <w:p w:rsidR="00B23A40" w:rsidRDefault="00B23A40">
      <w:pPr>
        <w:spacing w:line="360" w:lineRule="auto"/>
        <w:ind w:firstLineChars="200" w:firstLine="960"/>
        <w:rPr>
          <w:rFonts w:ascii="宋体" w:cs="Times New Roman"/>
          <w:sz w:val="48"/>
          <w:szCs w:val="48"/>
        </w:rPr>
      </w:pPr>
    </w:p>
    <w:p w:rsidR="00B23A40" w:rsidRDefault="00B23A40">
      <w:pPr>
        <w:spacing w:line="360" w:lineRule="auto"/>
        <w:ind w:firstLineChars="200" w:firstLine="960"/>
        <w:rPr>
          <w:rFonts w:ascii="宋体" w:cs="Times New Roman"/>
          <w:sz w:val="48"/>
          <w:szCs w:val="48"/>
        </w:rPr>
      </w:pPr>
    </w:p>
    <w:p w:rsidR="00B23A40" w:rsidRDefault="00B23A40">
      <w:pPr>
        <w:spacing w:line="360" w:lineRule="auto"/>
        <w:ind w:firstLineChars="200" w:firstLine="960"/>
        <w:rPr>
          <w:rFonts w:ascii="宋体" w:cs="Times New Roman"/>
          <w:sz w:val="48"/>
          <w:szCs w:val="48"/>
        </w:rPr>
      </w:pPr>
    </w:p>
    <w:p w:rsidR="00B23A40" w:rsidRDefault="00B23A40">
      <w:pPr>
        <w:spacing w:line="360" w:lineRule="auto"/>
        <w:ind w:firstLineChars="200" w:firstLine="960"/>
        <w:rPr>
          <w:rFonts w:ascii="宋体" w:cs="Times New Roman"/>
          <w:sz w:val="48"/>
          <w:szCs w:val="48"/>
        </w:rPr>
      </w:pPr>
    </w:p>
    <w:p w:rsidR="00B23A40" w:rsidRDefault="00B23A40">
      <w:pPr>
        <w:spacing w:line="360" w:lineRule="auto"/>
        <w:ind w:firstLineChars="200" w:firstLine="960"/>
        <w:rPr>
          <w:rFonts w:ascii="宋体" w:cs="Times New Roman"/>
          <w:sz w:val="48"/>
          <w:szCs w:val="48"/>
        </w:rPr>
      </w:pPr>
    </w:p>
    <w:p w:rsidR="00B23A40" w:rsidRDefault="00B23A40">
      <w:pPr>
        <w:spacing w:line="360" w:lineRule="auto"/>
        <w:ind w:firstLineChars="200" w:firstLine="960"/>
        <w:rPr>
          <w:rFonts w:ascii="宋体" w:cs="Times New Roman"/>
          <w:sz w:val="48"/>
          <w:szCs w:val="48"/>
        </w:rPr>
      </w:pPr>
    </w:p>
    <w:p w:rsidR="00B23A40" w:rsidRDefault="00DD1A0D">
      <w:pPr>
        <w:spacing w:line="360" w:lineRule="auto"/>
        <w:jc w:val="center"/>
        <w:rPr>
          <w:rFonts w:ascii="宋体" w:cs="Times New Roman"/>
          <w:b/>
          <w:bCs/>
          <w:sz w:val="48"/>
          <w:szCs w:val="48"/>
        </w:rPr>
      </w:pPr>
      <w:r>
        <w:rPr>
          <w:rFonts w:ascii="宋体" w:hAnsi="宋体" w:cs="宋体" w:hint="eastAsia"/>
          <w:b/>
          <w:bCs/>
          <w:sz w:val="48"/>
          <w:szCs w:val="48"/>
        </w:rPr>
        <w:t>新型抗肿瘤药物临床应用指导原则</w:t>
      </w:r>
    </w:p>
    <w:p w:rsidR="00B23A40" w:rsidRDefault="00DD1A0D">
      <w:pPr>
        <w:spacing w:line="360" w:lineRule="auto"/>
        <w:jc w:val="center"/>
        <w:rPr>
          <w:rFonts w:ascii="宋体" w:cs="Times New Roman"/>
          <w:b/>
          <w:bCs/>
          <w:sz w:val="48"/>
          <w:szCs w:val="48"/>
        </w:rPr>
      </w:pPr>
      <w:r>
        <w:rPr>
          <w:rFonts w:ascii="宋体" w:hAnsi="宋体" w:cs="宋体" w:hint="eastAsia"/>
          <w:b/>
          <w:bCs/>
          <w:sz w:val="48"/>
          <w:szCs w:val="48"/>
        </w:rPr>
        <w:t>（</w:t>
      </w:r>
      <w:r>
        <w:rPr>
          <w:rFonts w:ascii="宋体" w:hAnsi="宋体" w:cs="宋体"/>
          <w:b/>
          <w:bCs/>
          <w:sz w:val="48"/>
          <w:szCs w:val="48"/>
        </w:rPr>
        <w:t>201</w:t>
      </w:r>
      <w:r>
        <w:rPr>
          <w:rFonts w:ascii="宋体" w:hAnsi="宋体" w:cs="宋体" w:hint="eastAsia"/>
          <w:b/>
          <w:bCs/>
          <w:sz w:val="48"/>
          <w:szCs w:val="48"/>
        </w:rPr>
        <w:t>9年版）</w:t>
      </w:r>
    </w:p>
    <w:p w:rsidR="00B23A40" w:rsidRDefault="00B23A40">
      <w:pPr>
        <w:spacing w:line="360" w:lineRule="auto"/>
        <w:ind w:firstLineChars="200" w:firstLine="964"/>
        <w:jc w:val="center"/>
        <w:rPr>
          <w:rFonts w:ascii="宋体" w:cs="Times New Roman"/>
          <w:b/>
          <w:bCs/>
          <w:sz w:val="48"/>
          <w:szCs w:val="48"/>
        </w:rPr>
      </w:pPr>
    </w:p>
    <w:p w:rsidR="00B23A40" w:rsidRDefault="00B23A40">
      <w:pPr>
        <w:spacing w:line="360" w:lineRule="auto"/>
        <w:ind w:firstLineChars="200" w:firstLine="640"/>
        <w:jc w:val="center"/>
        <w:rPr>
          <w:rFonts w:ascii="仿宋" w:eastAsia="仿宋" w:hAnsi="仿宋" w:cs="仿宋"/>
          <w:bCs/>
          <w:sz w:val="32"/>
          <w:szCs w:val="32"/>
        </w:rPr>
      </w:pPr>
    </w:p>
    <w:p w:rsidR="00B23A40" w:rsidRDefault="00B23A40">
      <w:pPr>
        <w:spacing w:line="360" w:lineRule="auto"/>
        <w:ind w:firstLineChars="200" w:firstLine="640"/>
        <w:jc w:val="center"/>
        <w:rPr>
          <w:rFonts w:ascii="仿宋" w:eastAsia="仿宋" w:hAnsi="仿宋" w:cs="仿宋"/>
          <w:bCs/>
          <w:sz w:val="32"/>
          <w:szCs w:val="32"/>
        </w:rPr>
      </w:pPr>
    </w:p>
    <w:p w:rsidR="00B23A40" w:rsidRDefault="00B23A40">
      <w:pPr>
        <w:spacing w:line="360" w:lineRule="auto"/>
        <w:ind w:firstLineChars="200" w:firstLine="640"/>
        <w:jc w:val="center"/>
        <w:rPr>
          <w:rFonts w:ascii="仿宋" w:eastAsia="仿宋" w:hAnsi="仿宋" w:cs="仿宋"/>
          <w:bCs/>
          <w:sz w:val="32"/>
          <w:szCs w:val="32"/>
        </w:rPr>
      </w:pPr>
    </w:p>
    <w:p w:rsidR="00B23A40" w:rsidRDefault="00B23A40">
      <w:pPr>
        <w:spacing w:line="360" w:lineRule="auto"/>
        <w:ind w:firstLineChars="200" w:firstLine="640"/>
        <w:jc w:val="center"/>
        <w:rPr>
          <w:rFonts w:ascii="仿宋" w:eastAsia="仿宋" w:hAnsi="仿宋" w:cs="仿宋"/>
          <w:bCs/>
          <w:sz w:val="32"/>
          <w:szCs w:val="32"/>
        </w:rPr>
      </w:pPr>
    </w:p>
    <w:p w:rsidR="00B23A40" w:rsidRDefault="00B23A40">
      <w:pPr>
        <w:spacing w:line="360" w:lineRule="auto"/>
        <w:ind w:firstLineChars="200" w:firstLine="640"/>
        <w:jc w:val="center"/>
        <w:rPr>
          <w:rFonts w:ascii="仿宋" w:eastAsia="仿宋" w:hAnsi="仿宋" w:cs="仿宋"/>
          <w:bCs/>
          <w:sz w:val="32"/>
          <w:szCs w:val="32"/>
        </w:rPr>
      </w:pPr>
    </w:p>
    <w:p w:rsidR="00B23A40" w:rsidRDefault="00B23A40">
      <w:pPr>
        <w:spacing w:line="360" w:lineRule="auto"/>
        <w:ind w:firstLineChars="200" w:firstLine="640"/>
        <w:jc w:val="center"/>
        <w:rPr>
          <w:rFonts w:ascii="仿宋" w:eastAsia="仿宋" w:hAnsi="仿宋" w:cs="仿宋"/>
          <w:bCs/>
          <w:sz w:val="32"/>
          <w:szCs w:val="32"/>
        </w:rPr>
      </w:pPr>
    </w:p>
    <w:p w:rsidR="00B23A40" w:rsidRDefault="00B23A40">
      <w:pPr>
        <w:spacing w:line="360" w:lineRule="auto"/>
        <w:ind w:firstLineChars="200" w:firstLine="640"/>
        <w:jc w:val="center"/>
        <w:rPr>
          <w:rFonts w:ascii="仿宋" w:eastAsia="仿宋" w:hAnsi="仿宋" w:cs="仿宋"/>
          <w:bCs/>
          <w:sz w:val="32"/>
          <w:szCs w:val="32"/>
        </w:rPr>
      </w:pPr>
    </w:p>
    <w:p w:rsidR="00B23A40" w:rsidRDefault="00B23A40">
      <w:pPr>
        <w:spacing w:line="360" w:lineRule="auto"/>
        <w:ind w:firstLineChars="200" w:firstLine="640"/>
        <w:jc w:val="center"/>
        <w:rPr>
          <w:rFonts w:ascii="仿宋" w:eastAsia="仿宋" w:hAnsi="仿宋" w:cs="仿宋"/>
          <w:bCs/>
          <w:sz w:val="32"/>
          <w:szCs w:val="32"/>
        </w:rPr>
      </w:pPr>
    </w:p>
    <w:p w:rsidR="00B23A40" w:rsidRDefault="00B23A40">
      <w:pPr>
        <w:spacing w:line="360" w:lineRule="auto"/>
        <w:ind w:firstLineChars="200" w:firstLine="640"/>
        <w:jc w:val="center"/>
        <w:rPr>
          <w:rFonts w:ascii="仿宋" w:eastAsia="仿宋" w:hAnsi="仿宋" w:cs="仿宋"/>
          <w:bCs/>
          <w:sz w:val="32"/>
          <w:szCs w:val="32"/>
        </w:rPr>
      </w:pPr>
    </w:p>
    <w:p w:rsidR="00B23A40" w:rsidRDefault="00B23A40">
      <w:pPr>
        <w:spacing w:line="360" w:lineRule="auto"/>
        <w:ind w:firstLineChars="200" w:firstLine="640"/>
        <w:jc w:val="center"/>
        <w:rPr>
          <w:rFonts w:ascii="仿宋" w:eastAsia="仿宋" w:hAnsi="仿宋" w:cs="仿宋"/>
          <w:bCs/>
          <w:sz w:val="32"/>
          <w:szCs w:val="32"/>
        </w:rPr>
      </w:pPr>
    </w:p>
    <w:p w:rsidR="00B23A40" w:rsidRDefault="00B23A40">
      <w:pPr>
        <w:spacing w:line="360" w:lineRule="auto"/>
        <w:ind w:firstLineChars="200" w:firstLine="640"/>
        <w:jc w:val="center"/>
        <w:rPr>
          <w:rFonts w:ascii="仿宋" w:eastAsia="仿宋" w:hAnsi="仿宋" w:cs="仿宋"/>
          <w:bCs/>
          <w:sz w:val="32"/>
          <w:szCs w:val="32"/>
        </w:rPr>
      </w:pPr>
    </w:p>
    <w:p w:rsidR="00B23A40" w:rsidRDefault="00B23A40">
      <w:pPr>
        <w:spacing w:line="360" w:lineRule="auto"/>
        <w:ind w:firstLineChars="200" w:firstLine="602"/>
        <w:jc w:val="center"/>
        <w:rPr>
          <w:rFonts w:ascii="宋体" w:hAnsi="宋体" w:cs="宋体"/>
          <w:b/>
          <w:bCs/>
          <w:sz w:val="30"/>
          <w:szCs w:val="30"/>
        </w:rPr>
      </w:pPr>
    </w:p>
    <w:p w:rsidR="004B59C4" w:rsidRDefault="004B59C4">
      <w:pPr>
        <w:spacing w:line="360" w:lineRule="auto"/>
        <w:ind w:firstLineChars="200" w:firstLine="602"/>
        <w:jc w:val="center"/>
        <w:rPr>
          <w:rFonts w:ascii="宋体" w:hAnsi="宋体" w:cs="宋体"/>
          <w:b/>
          <w:bCs/>
          <w:sz w:val="30"/>
          <w:szCs w:val="30"/>
        </w:rPr>
      </w:pPr>
    </w:p>
    <w:p w:rsidR="00B23A40" w:rsidRPr="00785C07" w:rsidRDefault="00DD1A0D">
      <w:pPr>
        <w:spacing w:line="360" w:lineRule="auto"/>
        <w:ind w:firstLineChars="200" w:firstLine="602"/>
        <w:jc w:val="center"/>
        <w:rPr>
          <w:rFonts w:ascii="宋体" w:cs="Times New Roman"/>
          <w:bCs/>
          <w:sz w:val="30"/>
          <w:szCs w:val="30"/>
        </w:rPr>
      </w:pPr>
      <w:r>
        <w:rPr>
          <w:rFonts w:ascii="宋体" w:hAnsi="宋体" w:cs="宋体" w:hint="eastAsia"/>
          <w:b/>
          <w:bCs/>
          <w:sz w:val="30"/>
          <w:szCs w:val="30"/>
        </w:rPr>
        <w:lastRenderedPageBreak/>
        <w:t>目 录</w:t>
      </w:r>
    </w:p>
    <w:p w:rsidR="00B23A40" w:rsidRDefault="00DD1A0D">
      <w:pPr>
        <w:spacing w:line="360" w:lineRule="auto"/>
        <w:rPr>
          <w:rFonts w:ascii="宋体" w:cs="Times New Roman"/>
          <w:b/>
          <w:bCs/>
          <w:sz w:val="24"/>
          <w:szCs w:val="24"/>
        </w:rPr>
      </w:pPr>
      <w:r>
        <w:rPr>
          <w:rFonts w:ascii="宋体" w:hAnsi="宋体" w:cs="宋体" w:hint="eastAsia"/>
          <w:b/>
          <w:bCs/>
          <w:sz w:val="24"/>
          <w:szCs w:val="24"/>
        </w:rPr>
        <w:t>第一部分</w:t>
      </w:r>
      <w:r w:rsidR="00E22B2A">
        <w:rPr>
          <w:rFonts w:ascii="宋体" w:hAnsi="宋体" w:cs="宋体" w:hint="eastAsia"/>
          <w:b/>
          <w:bCs/>
          <w:sz w:val="24"/>
          <w:szCs w:val="24"/>
        </w:rPr>
        <w:t xml:space="preserve">  </w:t>
      </w:r>
      <w:r>
        <w:rPr>
          <w:rFonts w:ascii="宋体" w:hAnsi="宋体" w:cs="宋体" w:hint="eastAsia"/>
          <w:b/>
          <w:bCs/>
          <w:sz w:val="24"/>
          <w:szCs w:val="24"/>
        </w:rPr>
        <w:t>新型抗肿瘤药物临床应用指导原则</w:t>
      </w:r>
    </w:p>
    <w:p w:rsidR="00B23A40" w:rsidRDefault="00DD1A0D">
      <w:pPr>
        <w:spacing w:line="240" w:lineRule="atLeast"/>
        <w:rPr>
          <w:rFonts w:ascii="宋体" w:cs="Times New Roman"/>
          <w:b/>
          <w:bCs/>
        </w:rPr>
      </w:pPr>
      <w:r>
        <w:rPr>
          <w:rFonts w:ascii="宋体" w:hAnsi="宋体" w:cs="宋体" w:hint="eastAsia"/>
          <w:b/>
          <w:bCs/>
        </w:rPr>
        <w:t>抗肿瘤药物临床应用的基本原则</w:t>
      </w:r>
    </w:p>
    <w:tbl>
      <w:tblPr>
        <w:tblW w:w="8522" w:type="dxa"/>
        <w:tblInd w:w="-106" w:type="dxa"/>
        <w:tblLayout w:type="fixed"/>
        <w:tblLook w:val="04A0" w:firstRow="1" w:lastRow="0" w:firstColumn="1" w:lastColumn="0" w:noHBand="0" w:noVBand="1"/>
      </w:tblPr>
      <w:tblGrid>
        <w:gridCol w:w="7946"/>
        <w:gridCol w:w="576"/>
      </w:tblGrid>
      <w:tr w:rsidR="00B23A40">
        <w:trPr>
          <w:trHeight w:val="285"/>
        </w:trPr>
        <w:tc>
          <w:tcPr>
            <w:tcW w:w="7946" w:type="dxa"/>
          </w:tcPr>
          <w:p w:rsidR="00B23A40" w:rsidRDefault="00DD1A0D">
            <w:pPr>
              <w:spacing w:line="240" w:lineRule="atLeast"/>
              <w:rPr>
                <w:rFonts w:ascii="宋体" w:cs="Times New Roman"/>
              </w:rPr>
            </w:pPr>
            <w:r>
              <w:rPr>
                <w:rFonts w:ascii="宋体" w:hAnsi="宋体" w:cs="宋体" w:hint="eastAsia"/>
              </w:rPr>
              <w:t>一、病理组织学确诊后方可使用</w:t>
            </w:r>
            <w:r>
              <w:rPr>
                <w:rFonts w:ascii="宋体" w:cs="宋体" w:hint="eastAsia"/>
              </w:rPr>
              <w:t>……………………………………………………………</w:t>
            </w:r>
          </w:p>
        </w:tc>
        <w:tc>
          <w:tcPr>
            <w:tcW w:w="576" w:type="dxa"/>
          </w:tcPr>
          <w:p w:rsidR="00B23A40" w:rsidRDefault="00DD1A0D">
            <w:pPr>
              <w:spacing w:line="240" w:lineRule="atLeast"/>
              <w:rPr>
                <w:rFonts w:ascii="宋体" w:cs="Times New Roman"/>
              </w:rPr>
            </w:pPr>
            <w:r>
              <w:rPr>
                <w:rFonts w:ascii="宋体" w:cs="宋体"/>
              </w:rPr>
              <w:t>0</w:t>
            </w:r>
            <w:r>
              <w:rPr>
                <w:rFonts w:ascii="宋体" w:hAnsi="宋体" w:cs="宋体" w:hint="eastAsia"/>
              </w:rPr>
              <w:t>1</w:t>
            </w:r>
          </w:p>
        </w:tc>
      </w:tr>
      <w:tr w:rsidR="00B23A40">
        <w:trPr>
          <w:trHeight w:val="285"/>
        </w:trPr>
        <w:tc>
          <w:tcPr>
            <w:tcW w:w="7946" w:type="dxa"/>
          </w:tcPr>
          <w:p w:rsidR="00B23A40" w:rsidRDefault="00DD1A0D" w:rsidP="0010266A">
            <w:pPr>
              <w:rPr>
                <w:rFonts w:ascii="宋体" w:cs="Times New Roman"/>
              </w:rPr>
            </w:pPr>
            <w:r>
              <w:rPr>
                <w:rFonts w:ascii="宋体" w:hAnsi="宋体" w:cs="宋体" w:hint="eastAsia"/>
              </w:rPr>
              <w:t>二、</w:t>
            </w:r>
            <w:r w:rsidR="0010266A">
              <w:rPr>
                <w:rFonts w:ascii="宋体" w:hAnsi="宋体" w:cs="宋体" w:hint="eastAsia"/>
              </w:rPr>
              <w:t>靶点</w:t>
            </w:r>
            <w:r>
              <w:rPr>
                <w:rFonts w:ascii="宋体" w:hAnsi="宋体" w:cs="宋体" w:hint="eastAsia"/>
              </w:rPr>
              <w:t>检测后方可使用</w:t>
            </w:r>
            <w:r>
              <w:rPr>
                <w:rFonts w:ascii="宋体" w:cs="宋体" w:hint="eastAsia"/>
              </w:rPr>
              <w:t>……………………………………………………………………</w:t>
            </w:r>
          </w:p>
        </w:tc>
        <w:tc>
          <w:tcPr>
            <w:tcW w:w="576" w:type="dxa"/>
          </w:tcPr>
          <w:p w:rsidR="00B23A40" w:rsidRDefault="00DD1A0D">
            <w:pPr>
              <w:rPr>
                <w:rFonts w:ascii="宋体" w:cs="Times New Roman"/>
              </w:rPr>
            </w:pPr>
            <w:r>
              <w:rPr>
                <w:rFonts w:ascii="宋体" w:cs="宋体"/>
              </w:rPr>
              <w:t>0</w:t>
            </w:r>
            <w:r>
              <w:rPr>
                <w:rFonts w:ascii="宋体" w:hAnsi="宋体" w:cs="宋体" w:hint="eastAsia"/>
              </w:rPr>
              <w:t>2</w:t>
            </w:r>
          </w:p>
        </w:tc>
      </w:tr>
      <w:tr w:rsidR="00B23A40">
        <w:trPr>
          <w:trHeight w:val="285"/>
        </w:trPr>
        <w:tc>
          <w:tcPr>
            <w:tcW w:w="7946" w:type="dxa"/>
          </w:tcPr>
          <w:p w:rsidR="00B23A40" w:rsidRDefault="00DD1A0D">
            <w:pPr>
              <w:rPr>
                <w:rFonts w:ascii="宋体" w:cs="Times New Roman"/>
              </w:rPr>
            </w:pPr>
            <w:r>
              <w:rPr>
                <w:rFonts w:ascii="宋体" w:hAnsi="宋体" w:cs="宋体" w:hint="eastAsia"/>
              </w:rPr>
              <w:t>三、严格遵循适应证用药</w:t>
            </w:r>
            <w:r>
              <w:rPr>
                <w:rFonts w:ascii="宋体" w:cs="宋体" w:hint="eastAsia"/>
              </w:rPr>
              <w:t>……………………………………………………………………</w:t>
            </w:r>
          </w:p>
        </w:tc>
        <w:tc>
          <w:tcPr>
            <w:tcW w:w="576" w:type="dxa"/>
          </w:tcPr>
          <w:p w:rsidR="00B23A40" w:rsidRDefault="00DD1A0D">
            <w:pPr>
              <w:rPr>
                <w:rFonts w:ascii="宋体" w:cs="Times New Roman"/>
              </w:rPr>
            </w:pPr>
            <w:r>
              <w:rPr>
                <w:rFonts w:ascii="宋体" w:cs="宋体"/>
              </w:rPr>
              <w:t>0</w:t>
            </w:r>
            <w:r>
              <w:rPr>
                <w:rFonts w:ascii="宋体" w:hAnsi="宋体" w:cs="宋体" w:hint="eastAsia"/>
              </w:rPr>
              <w:t>4</w:t>
            </w:r>
          </w:p>
        </w:tc>
      </w:tr>
      <w:tr w:rsidR="00B23A40">
        <w:trPr>
          <w:trHeight w:val="285"/>
        </w:trPr>
        <w:tc>
          <w:tcPr>
            <w:tcW w:w="7946" w:type="dxa"/>
          </w:tcPr>
          <w:p w:rsidR="00B23A40" w:rsidRDefault="00DD1A0D">
            <w:pPr>
              <w:rPr>
                <w:rFonts w:ascii="宋体" w:cs="Times New Roman"/>
              </w:rPr>
            </w:pPr>
            <w:r>
              <w:rPr>
                <w:rFonts w:ascii="宋体" w:hAnsi="宋体" w:cs="宋体" w:hint="eastAsia"/>
              </w:rPr>
              <w:t>四、体现患者治疗价值</w:t>
            </w:r>
            <w:r>
              <w:rPr>
                <w:rFonts w:ascii="宋体" w:cs="宋体" w:hint="eastAsia"/>
              </w:rPr>
              <w:t>………………………………………………………………………</w:t>
            </w:r>
          </w:p>
        </w:tc>
        <w:tc>
          <w:tcPr>
            <w:tcW w:w="576" w:type="dxa"/>
          </w:tcPr>
          <w:p w:rsidR="00B23A40" w:rsidRDefault="00DD1A0D">
            <w:pPr>
              <w:rPr>
                <w:rFonts w:ascii="宋体" w:cs="Times New Roman"/>
              </w:rPr>
            </w:pPr>
            <w:r>
              <w:rPr>
                <w:rFonts w:ascii="宋体" w:cs="宋体"/>
              </w:rPr>
              <w:t>0</w:t>
            </w:r>
            <w:r>
              <w:rPr>
                <w:rFonts w:ascii="宋体" w:hAnsi="宋体" w:cs="宋体" w:hint="eastAsia"/>
              </w:rPr>
              <w:t>4</w:t>
            </w:r>
          </w:p>
        </w:tc>
      </w:tr>
      <w:tr w:rsidR="00B23A40">
        <w:trPr>
          <w:trHeight w:val="285"/>
        </w:trPr>
        <w:tc>
          <w:tcPr>
            <w:tcW w:w="7946" w:type="dxa"/>
          </w:tcPr>
          <w:p w:rsidR="00B23A40" w:rsidRDefault="00DD1A0D">
            <w:pPr>
              <w:rPr>
                <w:rFonts w:ascii="宋体" w:cs="Times New Roman"/>
              </w:rPr>
            </w:pPr>
            <w:r>
              <w:rPr>
                <w:rFonts w:ascii="宋体" w:hAnsi="宋体" w:cs="宋体" w:hint="eastAsia"/>
              </w:rPr>
              <w:t>五、特殊情况下的药物合理使用</w:t>
            </w:r>
            <w:r>
              <w:rPr>
                <w:rFonts w:ascii="宋体" w:cs="宋体" w:hint="eastAsia"/>
              </w:rPr>
              <w:t>……………………………………………………………</w:t>
            </w:r>
          </w:p>
          <w:p w:rsidR="00B23A40" w:rsidRDefault="00DD1A0D">
            <w:pPr>
              <w:rPr>
                <w:rFonts w:ascii="宋体" w:cs="Times New Roman"/>
              </w:rPr>
            </w:pPr>
            <w:r>
              <w:rPr>
                <w:rFonts w:ascii="宋体" w:hAnsi="宋体" w:cs="宋体" w:hint="eastAsia"/>
              </w:rPr>
              <w:t>六、重视药物相关性不良反应</w:t>
            </w:r>
            <w:r>
              <w:rPr>
                <w:rFonts w:ascii="宋体" w:cs="宋体" w:hint="eastAsia"/>
              </w:rPr>
              <w:t>………………………………………………………………</w:t>
            </w:r>
          </w:p>
          <w:p w:rsidR="00B23A40" w:rsidRDefault="00DD1A0D">
            <w:pPr>
              <w:spacing w:line="360" w:lineRule="auto"/>
              <w:ind w:firstLineChars="50" w:firstLine="105"/>
              <w:jc w:val="left"/>
              <w:rPr>
                <w:rFonts w:ascii="宋体" w:cs="Times New Roman"/>
              </w:rPr>
            </w:pPr>
            <w:r>
              <w:rPr>
                <w:rFonts w:ascii="宋体" w:hAnsi="宋体" w:cs="宋体" w:hint="eastAsia"/>
                <w:b/>
                <w:bCs/>
              </w:rPr>
              <w:t>抗肿瘤药物临床应用管理</w:t>
            </w:r>
          </w:p>
        </w:tc>
        <w:tc>
          <w:tcPr>
            <w:tcW w:w="576" w:type="dxa"/>
          </w:tcPr>
          <w:p w:rsidR="00B23A40" w:rsidRDefault="00DD1A0D">
            <w:pPr>
              <w:rPr>
                <w:rFonts w:ascii="宋体" w:cs="Times New Roman"/>
              </w:rPr>
            </w:pPr>
            <w:r>
              <w:rPr>
                <w:rFonts w:ascii="宋体" w:cs="宋体"/>
              </w:rPr>
              <w:t>0</w:t>
            </w:r>
            <w:r>
              <w:rPr>
                <w:rFonts w:ascii="宋体" w:hAnsi="宋体" w:cs="宋体" w:hint="eastAsia"/>
              </w:rPr>
              <w:t>5</w:t>
            </w:r>
          </w:p>
          <w:p w:rsidR="00B23A40" w:rsidRDefault="00DD1A0D">
            <w:pPr>
              <w:rPr>
                <w:rFonts w:ascii="宋体" w:cs="Times New Roman"/>
              </w:rPr>
            </w:pPr>
            <w:r>
              <w:rPr>
                <w:rFonts w:ascii="宋体" w:cs="宋体"/>
              </w:rPr>
              <w:t>0</w:t>
            </w:r>
            <w:r>
              <w:rPr>
                <w:rFonts w:ascii="宋体" w:hAnsi="宋体" w:cs="宋体" w:hint="eastAsia"/>
              </w:rPr>
              <w:t>6</w:t>
            </w:r>
          </w:p>
        </w:tc>
      </w:tr>
      <w:tr w:rsidR="00B23A40">
        <w:trPr>
          <w:trHeight w:val="285"/>
        </w:trPr>
        <w:tc>
          <w:tcPr>
            <w:tcW w:w="7946" w:type="dxa"/>
          </w:tcPr>
          <w:p w:rsidR="00B23A40" w:rsidRDefault="00DD1A0D">
            <w:pPr>
              <w:rPr>
                <w:rFonts w:ascii="宋体" w:cs="Times New Roman"/>
              </w:rPr>
            </w:pPr>
            <w:r>
              <w:rPr>
                <w:rFonts w:ascii="宋体" w:hAnsi="宋体" w:cs="宋体" w:hint="eastAsia"/>
              </w:rPr>
              <w:t>一、医疗机构建立抗肿瘤药物临床应用管理体系</w:t>
            </w:r>
            <w:r>
              <w:rPr>
                <w:rFonts w:ascii="宋体" w:cs="宋体" w:hint="eastAsia"/>
              </w:rPr>
              <w:t>…………………………………………</w:t>
            </w:r>
          </w:p>
        </w:tc>
        <w:tc>
          <w:tcPr>
            <w:tcW w:w="576" w:type="dxa"/>
          </w:tcPr>
          <w:p w:rsidR="00B23A40" w:rsidRDefault="00DD1A0D">
            <w:pPr>
              <w:rPr>
                <w:rFonts w:ascii="宋体" w:cs="Times New Roman"/>
              </w:rPr>
            </w:pPr>
            <w:r>
              <w:rPr>
                <w:rFonts w:ascii="宋体" w:cs="宋体"/>
              </w:rPr>
              <w:t>0</w:t>
            </w:r>
            <w:r>
              <w:rPr>
                <w:rFonts w:ascii="宋体" w:hAnsi="宋体" w:cs="宋体" w:hint="eastAsia"/>
              </w:rPr>
              <w:t>6</w:t>
            </w:r>
          </w:p>
        </w:tc>
      </w:tr>
      <w:tr w:rsidR="00B23A40">
        <w:trPr>
          <w:trHeight w:val="285"/>
        </w:trPr>
        <w:tc>
          <w:tcPr>
            <w:tcW w:w="7946" w:type="dxa"/>
          </w:tcPr>
          <w:p w:rsidR="00B23A40" w:rsidRDefault="00DD1A0D">
            <w:pPr>
              <w:rPr>
                <w:rFonts w:ascii="宋体" w:cs="Times New Roman"/>
              </w:rPr>
            </w:pPr>
            <w:r>
              <w:rPr>
                <w:rFonts w:ascii="宋体" w:hAnsi="宋体" w:cs="宋体" w:hint="eastAsia"/>
              </w:rPr>
              <w:t>二、抗肿瘤药物临床应用实行分级管理</w:t>
            </w:r>
            <w:r>
              <w:rPr>
                <w:rFonts w:ascii="宋体" w:cs="宋体" w:hint="eastAsia"/>
              </w:rPr>
              <w:t>……………………………………………………</w:t>
            </w:r>
          </w:p>
        </w:tc>
        <w:tc>
          <w:tcPr>
            <w:tcW w:w="576" w:type="dxa"/>
          </w:tcPr>
          <w:p w:rsidR="00B23A40" w:rsidRDefault="00DD1A0D">
            <w:pPr>
              <w:rPr>
                <w:rFonts w:ascii="宋体" w:cs="Times New Roman"/>
              </w:rPr>
            </w:pPr>
            <w:r>
              <w:rPr>
                <w:rFonts w:ascii="宋体" w:hAnsi="宋体" w:cs="宋体" w:hint="eastAsia"/>
              </w:rPr>
              <w:t>09</w:t>
            </w:r>
          </w:p>
        </w:tc>
      </w:tr>
      <w:tr w:rsidR="00B23A40">
        <w:trPr>
          <w:trHeight w:val="285"/>
        </w:trPr>
        <w:tc>
          <w:tcPr>
            <w:tcW w:w="7946" w:type="dxa"/>
          </w:tcPr>
          <w:p w:rsidR="00B23A40" w:rsidRDefault="00DD1A0D">
            <w:pPr>
              <w:rPr>
                <w:rFonts w:ascii="宋体" w:cs="Times New Roman"/>
              </w:rPr>
            </w:pPr>
            <w:r>
              <w:rPr>
                <w:rFonts w:ascii="宋体" w:hAnsi="宋体" w:cs="宋体" w:hint="eastAsia"/>
              </w:rPr>
              <w:t>三、细胞或组织病理学诊断</w:t>
            </w:r>
            <w:r>
              <w:rPr>
                <w:rFonts w:ascii="宋体" w:cs="宋体" w:hint="eastAsia"/>
              </w:rPr>
              <w:t>…………………………………………………………………</w:t>
            </w:r>
          </w:p>
        </w:tc>
        <w:tc>
          <w:tcPr>
            <w:tcW w:w="576" w:type="dxa"/>
          </w:tcPr>
          <w:p w:rsidR="00B23A40" w:rsidRDefault="00DD1A0D">
            <w:pPr>
              <w:rPr>
                <w:rFonts w:ascii="宋体" w:cs="Times New Roman"/>
              </w:rPr>
            </w:pPr>
            <w:r>
              <w:rPr>
                <w:rFonts w:ascii="宋体" w:hAnsi="宋体" w:cs="宋体"/>
              </w:rPr>
              <w:t>1</w:t>
            </w:r>
            <w:r>
              <w:rPr>
                <w:rFonts w:ascii="宋体" w:hAnsi="宋体" w:cs="宋体" w:hint="eastAsia"/>
              </w:rPr>
              <w:t>0</w:t>
            </w:r>
          </w:p>
        </w:tc>
      </w:tr>
      <w:tr w:rsidR="00B23A40">
        <w:trPr>
          <w:trHeight w:val="285"/>
        </w:trPr>
        <w:tc>
          <w:tcPr>
            <w:tcW w:w="7946" w:type="dxa"/>
          </w:tcPr>
          <w:p w:rsidR="00B23A40" w:rsidRDefault="00DD1A0D">
            <w:pPr>
              <w:rPr>
                <w:rFonts w:ascii="宋体" w:cs="Times New Roman"/>
              </w:rPr>
            </w:pPr>
            <w:r>
              <w:rPr>
                <w:rFonts w:ascii="宋体" w:hAnsi="宋体" w:cs="宋体" w:hint="eastAsia"/>
              </w:rPr>
              <w:t>四、培训、评估和督查</w:t>
            </w:r>
            <w:r>
              <w:rPr>
                <w:rFonts w:ascii="宋体" w:cs="宋体" w:hint="eastAsia"/>
              </w:rPr>
              <w:t>………………………………………………………………………</w:t>
            </w:r>
          </w:p>
        </w:tc>
        <w:tc>
          <w:tcPr>
            <w:tcW w:w="576" w:type="dxa"/>
          </w:tcPr>
          <w:p w:rsidR="00B23A40" w:rsidRDefault="00DD1A0D">
            <w:pPr>
              <w:rPr>
                <w:rFonts w:ascii="宋体" w:cs="Times New Roman"/>
              </w:rPr>
            </w:pPr>
            <w:r>
              <w:rPr>
                <w:rFonts w:ascii="宋体" w:hAnsi="宋体" w:cs="宋体"/>
              </w:rPr>
              <w:t>1</w:t>
            </w:r>
            <w:r>
              <w:rPr>
                <w:rFonts w:ascii="宋体" w:hAnsi="宋体" w:cs="宋体" w:hint="eastAsia"/>
              </w:rPr>
              <w:t>1</w:t>
            </w:r>
          </w:p>
        </w:tc>
      </w:tr>
    </w:tbl>
    <w:p w:rsidR="00B23A40" w:rsidRDefault="00DD1A0D">
      <w:pPr>
        <w:spacing w:line="360" w:lineRule="auto"/>
        <w:rPr>
          <w:rFonts w:ascii="宋体" w:cs="Times New Roman"/>
          <w:b/>
          <w:bCs/>
          <w:sz w:val="24"/>
          <w:szCs w:val="24"/>
        </w:rPr>
      </w:pPr>
      <w:r>
        <w:rPr>
          <w:rFonts w:ascii="宋体" w:hAnsi="宋体" w:cs="宋体" w:hint="eastAsia"/>
          <w:b/>
          <w:bCs/>
          <w:sz w:val="24"/>
          <w:szCs w:val="24"/>
        </w:rPr>
        <w:t>第二部分</w:t>
      </w:r>
      <w:r w:rsidR="00E22B2A">
        <w:rPr>
          <w:rFonts w:ascii="宋体" w:hAnsi="宋体" w:cs="宋体" w:hint="eastAsia"/>
          <w:b/>
          <w:bCs/>
          <w:sz w:val="24"/>
          <w:szCs w:val="24"/>
        </w:rPr>
        <w:t xml:space="preserve">  </w:t>
      </w:r>
      <w:r>
        <w:rPr>
          <w:rFonts w:ascii="宋体" w:hAnsi="宋体" w:cs="宋体" w:hint="eastAsia"/>
          <w:b/>
          <w:bCs/>
          <w:sz w:val="24"/>
          <w:szCs w:val="24"/>
        </w:rPr>
        <w:t>各系统肿瘤的药物临床应用指导原则</w:t>
      </w:r>
    </w:p>
    <w:p w:rsidR="00B23A40" w:rsidRDefault="00DD1A0D">
      <w:pPr>
        <w:spacing w:line="360" w:lineRule="auto"/>
        <w:rPr>
          <w:rFonts w:ascii="宋体" w:cs="Times New Roman"/>
          <w:b/>
          <w:bCs/>
          <w:sz w:val="24"/>
          <w:szCs w:val="24"/>
        </w:rPr>
      </w:pPr>
      <w:r>
        <w:rPr>
          <w:rFonts w:ascii="宋体" w:hAnsi="宋体" w:cs="宋体" w:hint="eastAsia"/>
          <w:b/>
          <w:bCs/>
        </w:rPr>
        <w:t>呼吸系统肿瘤用药</w:t>
      </w:r>
    </w:p>
    <w:tbl>
      <w:tblPr>
        <w:tblW w:w="8522" w:type="dxa"/>
        <w:tblInd w:w="-106" w:type="dxa"/>
        <w:tblLayout w:type="fixed"/>
        <w:tblLook w:val="04A0" w:firstRow="1" w:lastRow="0" w:firstColumn="1" w:lastColumn="0" w:noHBand="0" w:noVBand="1"/>
      </w:tblPr>
      <w:tblGrid>
        <w:gridCol w:w="7938"/>
        <w:gridCol w:w="584"/>
      </w:tblGrid>
      <w:tr w:rsidR="00B23A40">
        <w:trPr>
          <w:trHeight w:val="285"/>
        </w:trPr>
        <w:tc>
          <w:tcPr>
            <w:tcW w:w="7938" w:type="dxa"/>
          </w:tcPr>
          <w:p w:rsidR="00B23A40" w:rsidRDefault="00DD1A0D">
            <w:pPr>
              <w:rPr>
                <w:rFonts w:ascii="宋体" w:cs="Times New Roman"/>
              </w:rPr>
            </w:pPr>
            <w:r>
              <w:rPr>
                <w:rFonts w:ascii="宋体" w:hAnsi="宋体" w:cs="宋体" w:hint="eastAsia"/>
              </w:rPr>
              <w:t>一、吉非替尼</w:t>
            </w:r>
            <w:r>
              <w:rPr>
                <w:rFonts w:ascii="宋体" w:cs="宋体" w:hint="eastAsia"/>
              </w:rPr>
              <w:t>…………………………………………………………………………………</w:t>
            </w:r>
          </w:p>
        </w:tc>
        <w:tc>
          <w:tcPr>
            <w:tcW w:w="584" w:type="dxa"/>
          </w:tcPr>
          <w:p w:rsidR="00B23A40" w:rsidRDefault="00DD1A0D">
            <w:pPr>
              <w:rPr>
                <w:rFonts w:ascii="宋体" w:cs="Times New Roman"/>
              </w:rPr>
            </w:pPr>
            <w:r>
              <w:rPr>
                <w:rFonts w:ascii="宋体" w:hAnsi="宋体" w:cs="宋体"/>
              </w:rPr>
              <w:t>1</w:t>
            </w:r>
            <w:r>
              <w:rPr>
                <w:rFonts w:ascii="宋体" w:hAnsi="宋体" w:cs="宋体" w:hint="eastAsia"/>
              </w:rPr>
              <w:t>3</w:t>
            </w:r>
          </w:p>
        </w:tc>
      </w:tr>
      <w:tr w:rsidR="00B23A40">
        <w:trPr>
          <w:trHeight w:val="285"/>
        </w:trPr>
        <w:tc>
          <w:tcPr>
            <w:tcW w:w="7938" w:type="dxa"/>
          </w:tcPr>
          <w:p w:rsidR="00B23A40" w:rsidRDefault="00DD1A0D">
            <w:pPr>
              <w:rPr>
                <w:rFonts w:ascii="宋体" w:cs="Times New Roman"/>
              </w:rPr>
            </w:pPr>
            <w:r>
              <w:rPr>
                <w:rFonts w:ascii="宋体" w:hAnsi="宋体" w:cs="宋体" w:hint="eastAsia"/>
              </w:rPr>
              <w:t>二、厄洛替尼</w:t>
            </w:r>
            <w:r>
              <w:rPr>
                <w:rFonts w:ascii="宋体" w:cs="宋体" w:hint="eastAsia"/>
              </w:rPr>
              <w:t>…………………………………………………………………………………</w:t>
            </w:r>
          </w:p>
        </w:tc>
        <w:tc>
          <w:tcPr>
            <w:tcW w:w="584" w:type="dxa"/>
          </w:tcPr>
          <w:p w:rsidR="00B23A40" w:rsidRDefault="00DD1A0D">
            <w:pPr>
              <w:rPr>
                <w:rFonts w:ascii="宋体" w:cs="Times New Roman"/>
              </w:rPr>
            </w:pPr>
            <w:r>
              <w:rPr>
                <w:rFonts w:ascii="宋体" w:hAnsi="宋体" w:cs="宋体"/>
              </w:rPr>
              <w:t>1</w:t>
            </w:r>
            <w:r>
              <w:rPr>
                <w:rFonts w:ascii="宋体" w:hAnsi="宋体" w:cs="宋体" w:hint="eastAsia"/>
              </w:rPr>
              <w:t>4</w:t>
            </w:r>
          </w:p>
        </w:tc>
      </w:tr>
      <w:tr w:rsidR="00B23A40">
        <w:trPr>
          <w:trHeight w:val="285"/>
        </w:trPr>
        <w:tc>
          <w:tcPr>
            <w:tcW w:w="7938" w:type="dxa"/>
          </w:tcPr>
          <w:p w:rsidR="00B23A40" w:rsidRDefault="00DD1A0D">
            <w:pPr>
              <w:rPr>
                <w:rFonts w:ascii="宋体" w:cs="Times New Roman"/>
              </w:rPr>
            </w:pPr>
            <w:r>
              <w:rPr>
                <w:rFonts w:ascii="宋体" w:hAnsi="宋体" w:cs="宋体" w:hint="eastAsia"/>
              </w:rPr>
              <w:t>三、埃克替尼</w:t>
            </w:r>
            <w:r>
              <w:rPr>
                <w:rFonts w:ascii="宋体" w:cs="宋体" w:hint="eastAsia"/>
              </w:rPr>
              <w:t>…………………………………………………………………………………</w:t>
            </w:r>
          </w:p>
        </w:tc>
        <w:tc>
          <w:tcPr>
            <w:tcW w:w="584" w:type="dxa"/>
          </w:tcPr>
          <w:p w:rsidR="00B23A40" w:rsidRDefault="00DD1A0D">
            <w:pPr>
              <w:rPr>
                <w:rFonts w:ascii="宋体" w:cs="Times New Roman"/>
              </w:rPr>
            </w:pPr>
            <w:r>
              <w:rPr>
                <w:rFonts w:ascii="宋体" w:hAnsi="宋体" w:cs="宋体"/>
              </w:rPr>
              <w:t>1</w:t>
            </w:r>
            <w:r>
              <w:rPr>
                <w:rFonts w:ascii="宋体" w:hAnsi="宋体" w:cs="宋体" w:hint="eastAsia"/>
              </w:rPr>
              <w:t>5</w:t>
            </w:r>
          </w:p>
        </w:tc>
      </w:tr>
      <w:tr w:rsidR="00B23A40">
        <w:trPr>
          <w:trHeight w:val="285"/>
        </w:trPr>
        <w:tc>
          <w:tcPr>
            <w:tcW w:w="7938" w:type="dxa"/>
          </w:tcPr>
          <w:p w:rsidR="00B23A40" w:rsidRDefault="00DD1A0D">
            <w:pPr>
              <w:rPr>
                <w:rFonts w:ascii="宋体" w:cs="宋体"/>
              </w:rPr>
            </w:pPr>
            <w:r>
              <w:rPr>
                <w:rFonts w:ascii="宋体" w:hAnsi="宋体" w:cs="宋体" w:hint="eastAsia"/>
              </w:rPr>
              <w:t>四、阿法替尼</w:t>
            </w:r>
            <w:r>
              <w:rPr>
                <w:rFonts w:ascii="宋体" w:cs="宋体" w:hint="eastAsia"/>
              </w:rPr>
              <w:t>…………………………………………………………………………………</w:t>
            </w:r>
          </w:p>
          <w:p w:rsidR="00B23A40" w:rsidRDefault="00DD1A0D">
            <w:pPr>
              <w:rPr>
                <w:rFonts w:ascii="宋体" w:cs="Times New Roman"/>
              </w:rPr>
            </w:pPr>
            <w:r>
              <w:rPr>
                <w:rFonts w:ascii="宋体" w:cs="宋体" w:hint="eastAsia"/>
              </w:rPr>
              <w:t>五、达可替尼…………………………………………………………………………………</w:t>
            </w:r>
          </w:p>
        </w:tc>
        <w:tc>
          <w:tcPr>
            <w:tcW w:w="584" w:type="dxa"/>
          </w:tcPr>
          <w:p w:rsidR="00B23A40" w:rsidRDefault="00E22B2A">
            <w:pPr>
              <w:rPr>
                <w:rFonts w:ascii="宋体" w:hAnsi="宋体" w:cs="宋体"/>
              </w:rPr>
            </w:pPr>
            <w:r>
              <w:rPr>
                <w:rFonts w:ascii="宋体" w:hAnsi="宋体" w:cs="宋体" w:hint="eastAsia"/>
              </w:rPr>
              <w:t>15</w:t>
            </w:r>
          </w:p>
          <w:p w:rsidR="00B23A40" w:rsidRDefault="00E22B2A">
            <w:pPr>
              <w:rPr>
                <w:rFonts w:ascii="宋体" w:cs="Times New Roman"/>
              </w:rPr>
            </w:pPr>
            <w:r>
              <w:rPr>
                <w:rFonts w:ascii="宋体" w:hAnsi="宋体" w:cs="宋体" w:hint="eastAsia"/>
              </w:rPr>
              <w:t>17</w:t>
            </w:r>
          </w:p>
        </w:tc>
      </w:tr>
      <w:tr w:rsidR="00B23A40">
        <w:trPr>
          <w:trHeight w:val="285"/>
        </w:trPr>
        <w:tc>
          <w:tcPr>
            <w:tcW w:w="7938" w:type="dxa"/>
          </w:tcPr>
          <w:p w:rsidR="00B23A40" w:rsidRDefault="00DD1A0D">
            <w:pPr>
              <w:rPr>
                <w:rFonts w:ascii="宋体" w:cs="Times New Roman"/>
              </w:rPr>
            </w:pPr>
            <w:r>
              <w:rPr>
                <w:rFonts w:ascii="宋体" w:hAnsi="宋体" w:cs="宋体" w:hint="eastAsia"/>
              </w:rPr>
              <w:t>六、奥希替尼</w:t>
            </w:r>
            <w:r>
              <w:rPr>
                <w:rFonts w:ascii="宋体" w:cs="宋体" w:hint="eastAsia"/>
              </w:rPr>
              <w:t>…………………………………………………………………………………</w:t>
            </w:r>
          </w:p>
        </w:tc>
        <w:tc>
          <w:tcPr>
            <w:tcW w:w="584" w:type="dxa"/>
          </w:tcPr>
          <w:p w:rsidR="00B23A40" w:rsidRDefault="00E22B2A">
            <w:pPr>
              <w:rPr>
                <w:rFonts w:ascii="宋体" w:cs="Times New Roman"/>
              </w:rPr>
            </w:pPr>
            <w:r>
              <w:rPr>
                <w:rFonts w:ascii="宋体" w:hAnsi="宋体" w:cs="宋体" w:hint="eastAsia"/>
              </w:rPr>
              <w:t>19</w:t>
            </w:r>
          </w:p>
        </w:tc>
      </w:tr>
      <w:tr w:rsidR="00B23A40">
        <w:trPr>
          <w:trHeight w:val="285"/>
        </w:trPr>
        <w:tc>
          <w:tcPr>
            <w:tcW w:w="7938" w:type="dxa"/>
          </w:tcPr>
          <w:p w:rsidR="00B23A40" w:rsidRDefault="00DD1A0D">
            <w:pPr>
              <w:rPr>
                <w:rFonts w:ascii="宋体" w:cs="宋体"/>
              </w:rPr>
            </w:pPr>
            <w:r>
              <w:rPr>
                <w:rFonts w:ascii="宋体" w:hAnsi="宋体" w:cs="宋体" w:hint="eastAsia"/>
              </w:rPr>
              <w:t>七、克唑替尼</w:t>
            </w:r>
            <w:r>
              <w:rPr>
                <w:rFonts w:ascii="宋体" w:cs="宋体" w:hint="eastAsia"/>
              </w:rPr>
              <w:t>…………………………………………………………………………………</w:t>
            </w:r>
          </w:p>
          <w:p w:rsidR="00B23A40" w:rsidRDefault="00DD1A0D">
            <w:pPr>
              <w:rPr>
                <w:rFonts w:ascii="宋体" w:cs="宋体"/>
              </w:rPr>
            </w:pPr>
            <w:r>
              <w:rPr>
                <w:rFonts w:ascii="宋体" w:cs="Times New Roman" w:hint="eastAsia"/>
              </w:rPr>
              <w:t>八、阿来替尼</w:t>
            </w:r>
            <w:r>
              <w:rPr>
                <w:rFonts w:ascii="宋体" w:cs="宋体" w:hint="eastAsia"/>
              </w:rPr>
              <w:t>…………………………………………………………………………………</w:t>
            </w:r>
          </w:p>
          <w:p w:rsidR="00B23A40" w:rsidRDefault="00DD1A0D">
            <w:pPr>
              <w:rPr>
                <w:rFonts w:ascii="宋体" w:cs="Times New Roman"/>
              </w:rPr>
            </w:pPr>
            <w:r>
              <w:rPr>
                <w:rFonts w:ascii="宋体" w:hAnsi="宋体" w:cs="宋体" w:hint="eastAsia"/>
              </w:rPr>
              <w:t>九、塞瑞替尼</w:t>
            </w:r>
            <w:r>
              <w:rPr>
                <w:rFonts w:ascii="宋体" w:cs="宋体" w:hint="eastAsia"/>
              </w:rPr>
              <w:t>…………………………………………………………………………………</w:t>
            </w:r>
          </w:p>
        </w:tc>
        <w:tc>
          <w:tcPr>
            <w:tcW w:w="584" w:type="dxa"/>
          </w:tcPr>
          <w:p w:rsidR="00B23A40" w:rsidRDefault="00E22B2A">
            <w:pPr>
              <w:rPr>
                <w:rFonts w:ascii="宋体" w:hAnsi="宋体" w:cs="宋体"/>
              </w:rPr>
            </w:pPr>
            <w:r>
              <w:rPr>
                <w:rFonts w:ascii="宋体" w:hAnsi="宋体" w:cs="宋体" w:hint="eastAsia"/>
              </w:rPr>
              <w:t>20</w:t>
            </w:r>
          </w:p>
          <w:p w:rsidR="00B23A40" w:rsidRDefault="00E22B2A">
            <w:pPr>
              <w:rPr>
                <w:rFonts w:ascii="宋体" w:hAnsi="宋体" w:cs="宋体"/>
              </w:rPr>
            </w:pPr>
            <w:r>
              <w:rPr>
                <w:rFonts w:ascii="宋体" w:hAnsi="宋体" w:cs="宋体" w:hint="eastAsia"/>
              </w:rPr>
              <w:t>21</w:t>
            </w:r>
          </w:p>
          <w:p w:rsidR="00B23A40" w:rsidRDefault="00E22B2A">
            <w:pPr>
              <w:rPr>
                <w:rFonts w:ascii="宋体" w:cs="Times New Roman"/>
              </w:rPr>
            </w:pPr>
            <w:r>
              <w:rPr>
                <w:rFonts w:ascii="宋体" w:hAnsi="宋体" w:cs="宋体" w:hint="eastAsia"/>
              </w:rPr>
              <w:t>22</w:t>
            </w:r>
          </w:p>
        </w:tc>
      </w:tr>
      <w:tr w:rsidR="00B23A40">
        <w:trPr>
          <w:trHeight w:val="285"/>
        </w:trPr>
        <w:tc>
          <w:tcPr>
            <w:tcW w:w="7938" w:type="dxa"/>
          </w:tcPr>
          <w:p w:rsidR="00B23A40" w:rsidRDefault="00DD1A0D">
            <w:pPr>
              <w:rPr>
                <w:rFonts w:ascii="宋体" w:cs="Times New Roman"/>
              </w:rPr>
            </w:pPr>
            <w:r>
              <w:rPr>
                <w:rFonts w:ascii="宋体" w:hAnsi="宋体" w:cs="宋体" w:hint="eastAsia"/>
              </w:rPr>
              <w:t>十、贝伐珠单抗</w:t>
            </w:r>
            <w:r>
              <w:rPr>
                <w:rFonts w:ascii="宋体" w:cs="宋体" w:hint="eastAsia"/>
              </w:rPr>
              <w:t>………………………………………………………………………………</w:t>
            </w:r>
          </w:p>
        </w:tc>
        <w:tc>
          <w:tcPr>
            <w:tcW w:w="584" w:type="dxa"/>
          </w:tcPr>
          <w:p w:rsidR="00B23A40" w:rsidRDefault="00E22B2A">
            <w:pPr>
              <w:rPr>
                <w:rFonts w:ascii="宋体" w:cs="Times New Roman"/>
              </w:rPr>
            </w:pPr>
            <w:r>
              <w:rPr>
                <w:rFonts w:ascii="宋体" w:hAnsi="宋体" w:cs="宋体" w:hint="eastAsia"/>
              </w:rPr>
              <w:t>23</w:t>
            </w:r>
          </w:p>
        </w:tc>
      </w:tr>
      <w:tr w:rsidR="00B23A40">
        <w:trPr>
          <w:trHeight w:val="285"/>
        </w:trPr>
        <w:tc>
          <w:tcPr>
            <w:tcW w:w="7938" w:type="dxa"/>
          </w:tcPr>
          <w:p w:rsidR="00B23A40" w:rsidRDefault="00DD1A0D">
            <w:pPr>
              <w:rPr>
                <w:rFonts w:ascii="宋体" w:cs="Times New Roman"/>
              </w:rPr>
            </w:pPr>
            <w:r>
              <w:rPr>
                <w:rFonts w:ascii="宋体" w:hAnsi="宋体" w:cs="宋体" w:hint="eastAsia"/>
              </w:rPr>
              <w:t>十一、重组人血管内皮抑制素</w:t>
            </w:r>
            <w:r>
              <w:rPr>
                <w:rFonts w:ascii="宋体" w:cs="宋体" w:hint="eastAsia"/>
              </w:rPr>
              <w:t>………………………………………………………………</w:t>
            </w:r>
          </w:p>
        </w:tc>
        <w:tc>
          <w:tcPr>
            <w:tcW w:w="584" w:type="dxa"/>
          </w:tcPr>
          <w:p w:rsidR="00B23A40" w:rsidRDefault="00E22B2A">
            <w:pPr>
              <w:rPr>
                <w:rFonts w:ascii="宋体" w:cs="Times New Roman"/>
              </w:rPr>
            </w:pPr>
            <w:r>
              <w:rPr>
                <w:rFonts w:ascii="宋体" w:hAnsi="宋体" w:cs="宋体" w:hint="eastAsia"/>
              </w:rPr>
              <w:t>25</w:t>
            </w:r>
          </w:p>
        </w:tc>
      </w:tr>
      <w:tr w:rsidR="00B23A40">
        <w:trPr>
          <w:trHeight w:val="285"/>
        </w:trPr>
        <w:tc>
          <w:tcPr>
            <w:tcW w:w="7938" w:type="dxa"/>
          </w:tcPr>
          <w:p w:rsidR="00B23A40" w:rsidRDefault="00DD1A0D">
            <w:pPr>
              <w:rPr>
                <w:rFonts w:ascii="宋体" w:cs="Times New Roman"/>
              </w:rPr>
            </w:pPr>
            <w:r>
              <w:rPr>
                <w:rFonts w:ascii="宋体" w:hAnsi="宋体" w:cs="宋体" w:hint="eastAsia"/>
              </w:rPr>
              <w:t>十二、安罗替尼</w:t>
            </w:r>
            <w:r>
              <w:rPr>
                <w:rFonts w:ascii="宋体" w:cs="宋体" w:hint="eastAsia"/>
              </w:rPr>
              <w:t>………………………………………………………………………………</w:t>
            </w:r>
          </w:p>
        </w:tc>
        <w:tc>
          <w:tcPr>
            <w:tcW w:w="584" w:type="dxa"/>
          </w:tcPr>
          <w:p w:rsidR="00B23A40" w:rsidRDefault="00E22B2A">
            <w:pPr>
              <w:rPr>
                <w:rFonts w:ascii="宋体" w:cs="Times New Roman"/>
              </w:rPr>
            </w:pPr>
            <w:r>
              <w:rPr>
                <w:rFonts w:ascii="宋体" w:hAnsi="宋体" w:cs="宋体" w:hint="eastAsia"/>
              </w:rPr>
              <w:t>26</w:t>
            </w:r>
          </w:p>
        </w:tc>
      </w:tr>
      <w:tr w:rsidR="00B23A40">
        <w:trPr>
          <w:trHeight w:val="285"/>
        </w:trPr>
        <w:tc>
          <w:tcPr>
            <w:tcW w:w="7938" w:type="dxa"/>
          </w:tcPr>
          <w:p w:rsidR="00B23A40" w:rsidRDefault="00DD1A0D">
            <w:pPr>
              <w:rPr>
                <w:rFonts w:ascii="宋体" w:hAnsi="宋体" w:cs="宋体"/>
              </w:rPr>
            </w:pPr>
            <w:r>
              <w:rPr>
                <w:rFonts w:ascii="宋体" w:hAnsi="宋体" w:cs="宋体" w:hint="eastAsia"/>
              </w:rPr>
              <w:t>十三、纳武利尤单抗</w:t>
            </w:r>
            <w:r>
              <w:rPr>
                <w:rFonts w:ascii="宋体" w:cs="宋体" w:hint="eastAsia"/>
              </w:rPr>
              <w:t>…………………………………………………………………………</w:t>
            </w:r>
          </w:p>
          <w:p w:rsidR="00B23A40" w:rsidRDefault="00DD1A0D">
            <w:pPr>
              <w:rPr>
                <w:rFonts w:ascii="宋体" w:cs="Times New Roman"/>
              </w:rPr>
            </w:pPr>
            <w:r>
              <w:rPr>
                <w:rFonts w:ascii="宋体" w:cs="Times New Roman" w:hint="eastAsia"/>
              </w:rPr>
              <w:t>十四、帕博利珠单抗</w:t>
            </w:r>
            <w:r>
              <w:rPr>
                <w:rFonts w:ascii="宋体" w:cs="宋体" w:hint="eastAsia"/>
              </w:rPr>
              <w:t>…………………………………………………………………………</w:t>
            </w:r>
          </w:p>
          <w:p w:rsidR="00B23A40" w:rsidRDefault="00DD1A0D">
            <w:pPr>
              <w:rPr>
                <w:rFonts w:ascii="宋体" w:cs="Times New Roman"/>
              </w:rPr>
            </w:pPr>
            <w:r>
              <w:rPr>
                <w:rFonts w:ascii="宋体" w:cs="Times New Roman" w:hint="eastAsia"/>
              </w:rPr>
              <w:t>十五、依维莫司</w:t>
            </w:r>
            <w:r>
              <w:rPr>
                <w:rFonts w:ascii="宋体" w:cs="宋体" w:hint="eastAsia"/>
              </w:rPr>
              <w:t>………………………………………………………………………………</w:t>
            </w:r>
          </w:p>
        </w:tc>
        <w:tc>
          <w:tcPr>
            <w:tcW w:w="584" w:type="dxa"/>
          </w:tcPr>
          <w:p w:rsidR="00B23A40" w:rsidRDefault="00E22B2A">
            <w:pPr>
              <w:rPr>
                <w:rFonts w:ascii="宋体" w:cs="Times New Roman"/>
              </w:rPr>
            </w:pPr>
            <w:r>
              <w:rPr>
                <w:rFonts w:ascii="宋体" w:hAnsi="宋体" w:cs="宋体" w:hint="eastAsia"/>
              </w:rPr>
              <w:t>27</w:t>
            </w:r>
          </w:p>
          <w:p w:rsidR="00B23A40" w:rsidRDefault="00E22B2A">
            <w:pPr>
              <w:jc w:val="left"/>
              <w:rPr>
                <w:rFonts w:ascii="宋体" w:hAnsi="宋体" w:cs="宋体"/>
              </w:rPr>
            </w:pPr>
            <w:r>
              <w:rPr>
                <w:rFonts w:ascii="宋体" w:hAnsi="宋体" w:cs="宋体" w:hint="eastAsia"/>
              </w:rPr>
              <w:t>29</w:t>
            </w:r>
          </w:p>
          <w:p w:rsidR="00B23A40" w:rsidRDefault="00DD1A0D">
            <w:pPr>
              <w:jc w:val="left"/>
              <w:rPr>
                <w:rFonts w:ascii="宋体" w:hAnsi="宋体" w:cs="宋体"/>
              </w:rPr>
            </w:pPr>
            <w:r>
              <w:rPr>
                <w:rFonts w:ascii="宋体" w:hAnsi="宋体" w:cs="宋体" w:hint="eastAsia"/>
              </w:rPr>
              <w:t>3</w:t>
            </w:r>
            <w:r w:rsidR="00E22B2A">
              <w:rPr>
                <w:rFonts w:ascii="宋体" w:hAnsi="宋体" w:cs="宋体" w:hint="eastAsia"/>
              </w:rPr>
              <w:t>2</w:t>
            </w:r>
          </w:p>
        </w:tc>
      </w:tr>
    </w:tbl>
    <w:p w:rsidR="00B23A40" w:rsidRDefault="00DD1A0D">
      <w:pPr>
        <w:spacing w:line="360" w:lineRule="auto"/>
        <w:rPr>
          <w:rFonts w:ascii="宋体" w:cs="Times New Roman"/>
          <w:b/>
          <w:bCs/>
        </w:rPr>
      </w:pPr>
      <w:r>
        <w:rPr>
          <w:rFonts w:ascii="宋体" w:hAnsi="宋体" w:cs="宋体" w:hint="eastAsia"/>
          <w:b/>
          <w:bCs/>
        </w:rPr>
        <w:t>消化系统肿瘤用药</w:t>
      </w:r>
    </w:p>
    <w:tbl>
      <w:tblPr>
        <w:tblW w:w="8436" w:type="dxa"/>
        <w:tblInd w:w="-106" w:type="dxa"/>
        <w:tblLayout w:type="fixed"/>
        <w:tblLook w:val="04A0" w:firstRow="1" w:lastRow="0" w:firstColumn="1" w:lastColumn="0" w:noHBand="0" w:noVBand="1"/>
      </w:tblPr>
      <w:tblGrid>
        <w:gridCol w:w="7938"/>
        <w:gridCol w:w="498"/>
      </w:tblGrid>
      <w:tr w:rsidR="00B23A40" w:rsidTr="004B59C4">
        <w:trPr>
          <w:trHeight w:val="285"/>
        </w:trPr>
        <w:tc>
          <w:tcPr>
            <w:tcW w:w="7938" w:type="dxa"/>
          </w:tcPr>
          <w:p w:rsidR="00B23A40" w:rsidRDefault="00DD1A0D">
            <w:pPr>
              <w:rPr>
                <w:rFonts w:ascii="宋体" w:cs="宋体"/>
              </w:rPr>
            </w:pPr>
            <w:r>
              <w:rPr>
                <w:rFonts w:ascii="宋体" w:hAnsi="宋体" w:cs="宋体" w:hint="eastAsia"/>
              </w:rPr>
              <w:t>一、索拉非尼</w:t>
            </w:r>
            <w:r>
              <w:rPr>
                <w:rFonts w:ascii="宋体" w:cs="宋体" w:hint="eastAsia"/>
              </w:rPr>
              <w:t>…………………………………………………………………………………</w:t>
            </w:r>
          </w:p>
          <w:p w:rsidR="00B23A40" w:rsidRDefault="00DD1A0D">
            <w:pPr>
              <w:rPr>
                <w:rFonts w:ascii="宋体" w:cs="Times New Roman"/>
              </w:rPr>
            </w:pPr>
            <w:r>
              <w:rPr>
                <w:rFonts w:ascii="宋体" w:hAnsi="宋体" w:cs="宋体" w:hint="eastAsia"/>
              </w:rPr>
              <w:t>二、瑞戈非尼</w:t>
            </w:r>
            <w:r>
              <w:rPr>
                <w:rFonts w:ascii="宋体" w:cs="宋体" w:hint="eastAsia"/>
              </w:rPr>
              <w:t>…………………………………………………………………………………</w:t>
            </w:r>
          </w:p>
        </w:tc>
        <w:tc>
          <w:tcPr>
            <w:tcW w:w="498" w:type="dxa"/>
          </w:tcPr>
          <w:p w:rsidR="00B23A40" w:rsidRDefault="00E22B2A">
            <w:pPr>
              <w:rPr>
                <w:rFonts w:ascii="宋体" w:hAnsi="宋体" w:cs="宋体"/>
              </w:rPr>
            </w:pPr>
            <w:r>
              <w:rPr>
                <w:rFonts w:ascii="宋体" w:hAnsi="宋体" w:cs="宋体" w:hint="eastAsia"/>
              </w:rPr>
              <w:t>34</w:t>
            </w:r>
          </w:p>
          <w:p w:rsidR="00B23A40" w:rsidRDefault="00E22B2A">
            <w:pPr>
              <w:rPr>
                <w:rFonts w:ascii="宋体" w:cs="Times New Roman"/>
              </w:rPr>
            </w:pPr>
            <w:r>
              <w:rPr>
                <w:rFonts w:ascii="宋体" w:cs="Times New Roman" w:hint="eastAsia"/>
              </w:rPr>
              <w:t>35</w:t>
            </w:r>
          </w:p>
        </w:tc>
      </w:tr>
      <w:tr w:rsidR="00B23A40" w:rsidTr="004B59C4">
        <w:trPr>
          <w:trHeight w:val="285"/>
        </w:trPr>
        <w:tc>
          <w:tcPr>
            <w:tcW w:w="7938" w:type="dxa"/>
          </w:tcPr>
          <w:p w:rsidR="00B23A40" w:rsidRDefault="00DD1A0D">
            <w:pPr>
              <w:rPr>
                <w:rFonts w:ascii="宋体" w:cs="Times New Roman"/>
              </w:rPr>
            </w:pPr>
            <w:r>
              <w:rPr>
                <w:rFonts w:ascii="宋体" w:cs="Times New Roman" w:hint="eastAsia"/>
              </w:rPr>
              <w:t>三、仑伐替尼…………………………………………………………………………</w:t>
            </w:r>
            <w:r>
              <w:rPr>
                <w:rFonts w:ascii="宋体" w:cs="宋体" w:hint="eastAsia"/>
              </w:rPr>
              <w:t>………</w:t>
            </w:r>
          </w:p>
        </w:tc>
        <w:tc>
          <w:tcPr>
            <w:tcW w:w="498" w:type="dxa"/>
          </w:tcPr>
          <w:p w:rsidR="00B23A40" w:rsidRDefault="00DD1A0D">
            <w:pPr>
              <w:rPr>
                <w:rFonts w:ascii="宋体" w:cs="Times New Roman"/>
              </w:rPr>
            </w:pPr>
            <w:r>
              <w:rPr>
                <w:rFonts w:ascii="宋体" w:cs="Times New Roman" w:hint="eastAsia"/>
              </w:rPr>
              <w:t>3</w:t>
            </w:r>
            <w:r w:rsidR="00E22B2A">
              <w:rPr>
                <w:rFonts w:ascii="宋体" w:cs="Times New Roman" w:hint="eastAsia"/>
              </w:rPr>
              <w:t>6</w:t>
            </w:r>
          </w:p>
        </w:tc>
      </w:tr>
      <w:tr w:rsidR="00B23A40" w:rsidTr="004B59C4">
        <w:trPr>
          <w:trHeight w:val="285"/>
        </w:trPr>
        <w:tc>
          <w:tcPr>
            <w:tcW w:w="7938" w:type="dxa"/>
          </w:tcPr>
          <w:p w:rsidR="00B23A40" w:rsidRDefault="00DD1A0D">
            <w:pPr>
              <w:rPr>
                <w:rFonts w:ascii="宋体" w:cs="Times New Roman"/>
              </w:rPr>
            </w:pPr>
            <w:r>
              <w:rPr>
                <w:rFonts w:ascii="宋体" w:hAnsi="宋体" w:cs="宋体" w:hint="eastAsia"/>
              </w:rPr>
              <w:t>四、曲妥珠单抗</w:t>
            </w:r>
            <w:r>
              <w:rPr>
                <w:rFonts w:ascii="宋体" w:cs="宋体" w:hint="eastAsia"/>
              </w:rPr>
              <w:t>………………………………………………………………………………</w:t>
            </w:r>
          </w:p>
        </w:tc>
        <w:tc>
          <w:tcPr>
            <w:tcW w:w="498" w:type="dxa"/>
          </w:tcPr>
          <w:p w:rsidR="00B23A40" w:rsidRDefault="00DD1A0D">
            <w:pPr>
              <w:rPr>
                <w:rFonts w:ascii="宋体" w:cs="Times New Roman"/>
              </w:rPr>
            </w:pPr>
            <w:r>
              <w:rPr>
                <w:rFonts w:ascii="宋体" w:hAnsi="宋体" w:cs="宋体" w:hint="eastAsia"/>
              </w:rPr>
              <w:t>3</w:t>
            </w:r>
            <w:r w:rsidR="00E22B2A">
              <w:rPr>
                <w:rFonts w:ascii="宋体" w:hAnsi="宋体" w:cs="宋体" w:hint="eastAsia"/>
              </w:rPr>
              <w:t>6</w:t>
            </w:r>
          </w:p>
        </w:tc>
      </w:tr>
      <w:tr w:rsidR="00B23A40" w:rsidTr="004B59C4">
        <w:trPr>
          <w:trHeight w:val="285"/>
        </w:trPr>
        <w:tc>
          <w:tcPr>
            <w:tcW w:w="7938" w:type="dxa"/>
          </w:tcPr>
          <w:p w:rsidR="00B23A40" w:rsidRDefault="00DD1A0D">
            <w:pPr>
              <w:rPr>
                <w:rFonts w:ascii="宋体" w:cs="Times New Roman"/>
              </w:rPr>
            </w:pPr>
            <w:r>
              <w:rPr>
                <w:rFonts w:ascii="宋体" w:hAnsi="宋体" w:cs="宋体" w:hint="eastAsia"/>
              </w:rPr>
              <w:t>五、阿帕替尼</w:t>
            </w:r>
            <w:r>
              <w:rPr>
                <w:rFonts w:ascii="宋体" w:cs="宋体" w:hint="eastAsia"/>
              </w:rPr>
              <w:t>…………………………………………………………………………………</w:t>
            </w:r>
          </w:p>
        </w:tc>
        <w:tc>
          <w:tcPr>
            <w:tcW w:w="498" w:type="dxa"/>
          </w:tcPr>
          <w:p w:rsidR="00B23A40" w:rsidRDefault="00DD1A0D">
            <w:pPr>
              <w:rPr>
                <w:rFonts w:ascii="宋体" w:cs="Times New Roman"/>
              </w:rPr>
            </w:pPr>
            <w:r>
              <w:rPr>
                <w:rFonts w:ascii="宋体" w:hAnsi="宋体" w:cs="宋体" w:hint="eastAsia"/>
              </w:rPr>
              <w:t>3</w:t>
            </w:r>
            <w:r w:rsidR="00E22B2A">
              <w:rPr>
                <w:rFonts w:ascii="宋体" w:hAnsi="宋体" w:cs="宋体" w:hint="eastAsia"/>
              </w:rPr>
              <w:t>8</w:t>
            </w:r>
          </w:p>
        </w:tc>
      </w:tr>
      <w:tr w:rsidR="00B23A40" w:rsidTr="004B59C4">
        <w:trPr>
          <w:trHeight w:val="285"/>
        </w:trPr>
        <w:tc>
          <w:tcPr>
            <w:tcW w:w="7938" w:type="dxa"/>
          </w:tcPr>
          <w:p w:rsidR="00B23A40" w:rsidRDefault="00DD1A0D">
            <w:pPr>
              <w:rPr>
                <w:rFonts w:ascii="宋体" w:cs="Times New Roman"/>
              </w:rPr>
            </w:pPr>
            <w:r>
              <w:rPr>
                <w:rFonts w:ascii="宋体" w:hAnsi="宋体" w:cs="宋体" w:hint="eastAsia"/>
              </w:rPr>
              <w:t>六、伊马替尼</w:t>
            </w:r>
            <w:r>
              <w:rPr>
                <w:rFonts w:ascii="宋体" w:cs="宋体" w:hint="eastAsia"/>
              </w:rPr>
              <w:t>…………………………………………………………………………………</w:t>
            </w:r>
          </w:p>
        </w:tc>
        <w:tc>
          <w:tcPr>
            <w:tcW w:w="498" w:type="dxa"/>
          </w:tcPr>
          <w:p w:rsidR="00B23A40" w:rsidRDefault="00E22B2A">
            <w:pPr>
              <w:rPr>
                <w:rFonts w:ascii="宋体" w:cs="Times New Roman"/>
              </w:rPr>
            </w:pPr>
            <w:r>
              <w:rPr>
                <w:rFonts w:ascii="宋体" w:hAnsi="宋体" w:cs="宋体" w:hint="eastAsia"/>
              </w:rPr>
              <w:t>38</w:t>
            </w:r>
          </w:p>
        </w:tc>
      </w:tr>
      <w:tr w:rsidR="00B23A40" w:rsidTr="004B59C4">
        <w:trPr>
          <w:trHeight w:val="285"/>
        </w:trPr>
        <w:tc>
          <w:tcPr>
            <w:tcW w:w="7938" w:type="dxa"/>
          </w:tcPr>
          <w:p w:rsidR="00B23A40" w:rsidRDefault="00DD1A0D">
            <w:pPr>
              <w:rPr>
                <w:rFonts w:ascii="宋体" w:cs="Times New Roman"/>
              </w:rPr>
            </w:pPr>
            <w:r>
              <w:rPr>
                <w:rFonts w:ascii="宋体" w:hAnsi="宋体" w:cs="宋体" w:hint="eastAsia"/>
              </w:rPr>
              <w:t>七、舒尼替尼</w:t>
            </w:r>
            <w:r>
              <w:rPr>
                <w:rFonts w:ascii="宋体" w:cs="宋体" w:hint="eastAsia"/>
              </w:rPr>
              <w:t>…………………………………………………………………………………</w:t>
            </w:r>
          </w:p>
        </w:tc>
        <w:tc>
          <w:tcPr>
            <w:tcW w:w="498" w:type="dxa"/>
          </w:tcPr>
          <w:p w:rsidR="00B23A40" w:rsidRDefault="00E22B2A">
            <w:pPr>
              <w:rPr>
                <w:rFonts w:ascii="宋体" w:cs="Times New Roman"/>
              </w:rPr>
            </w:pPr>
            <w:r>
              <w:rPr>
                <w:rFonts w:ascii="宋体" w:hAnsi="宋体" w:cs="宋体" w:hint="eastAsia"/>
              </w:rPr>
              <w:t>39</w:t>
            </w:r>
          </w:p>
        </w:tc>
      </w:tr>
      <w:tr w:rsidR="00B23A40" w:rsidTr="004B59C4">
        <w:trPr>
          <w:trHeight w:val="285"/>
        </w:trPr>
        <w:tc>
          <w:tcPr>
            <w:tcW w:w="7938" w:type="dxa"/>
          </w:tcPr>
          <w:p w:rsidR="00B23A40" w:rsidRDefault="00DD1A0D">
            <w:pPr>
              <w:rPr>
                <w:rFonts w:ascii="宋体" w:cs="Times New Roman"/>
              </w:rPr>
            </w:pPr>
            <w:r>
              <w:rPr>
                <w:rFonts w:ascii="宋体" w:hAnsi="宋体" w:cs="宋体" w:hint="eastAsia"/>
              </w:rPr>
              <w:t>八、依维莫司</w:t>
            </w:r>
            <w:r>
              <w:rPr>
                <w:rFonts w:ascii="宋体" w:cs="宋体" w:hint="eastAsia"/>
              </w:rPr>
              <w:t>…………………………………………………………………………………</w:t>
            </w:r>
          </w:p>
        </w:tc>
        <w:tc>
          <w:tcPr>
            <w:tcW w:w="498" w:type="dxa"/>
          </w:tcPr>
          <w:p w:rsidR="00B23A40" w:rsidRDefault="00DD1A0D">
            <w:pPr>
              <w:rPr>
                <w:rFonts w:ascii="宋体" w:cs="Times New Roman"/>
              </w:rPr>
            </w:pPr>
            <w:r>
              <w:rPr>
                <w:rFonts w:ascii="宋体" w:hAnsi="宋体" w:cs="宋体" w:hint="eastAsia"/>
              </w:rPr>
              <w:t>4</w:t>
            </w:r>
            <w:r w:rsidR="00E22B2A">
              <w:rPr>
                <w:rFonts w:ascii="宋体" w:hAnsi="宋体" w:cs="宋体" w:hint="eastAsia"/>
              </w:rPr>
              <w:t>0</w:t>
            </w:r>
          </w:p>
        </w:tc>
      </w:tr>
      <w:tr w:rsidR="00B23A40" w:rsidTr="004B59C4">
        <w:trPr>
          <w:trHeight w:val="285"/>
        </w:trPr>
        <w:tc>
          <w:tcPr>
            <w:tcW w:w="7938" w:type="dxa"/>
          </w:tcPr>
          <w:p w:rsidR="00B23A40" w:rsidRPr="004B59C4" w:rsidRDefault="004B59C4" w:rsidP="004B59C4">
            <w:pPr>
              <w:rPr>
                <w:rFonts w:ascii="宋体" w:cs="Times New Roman"/>
              </w:rPr>
            </w:pPr>
            <w:r w:rsidRPr="004B59C4">
              <w:rPr>
                <w:rFonts w:ascii="宋体" w:cs="Times New Roman" w:hint="eastAsia"/>
              </w:rPr>
              <w:t>九、西妥昔单抗………………………………………………………………………………</w:t>
            </w:r>
          </w:p>
        </w:tc>
        <w:tc>
          <w:tcPr>
            <w:tcW w:w="498" w:type="dxa"/>
          </w:tcPr>
          <w:p w:rsidR="00B23A40" w:rsidRDefault="00DD1A0D">
            <w:pPr>
              <w:rPr>
                <w:rFonts w:ascii="宋体" w:cs="Times New Roman"/>
              </w:rPr>
            </w:pPr>
            <w:r>
              <w:rPr>
                <w:rFonts w:ascii="宋体" w:hAnsi="宋体" w:cs="宋体" w:hint="eastAsia"/>
              </w:rPr>
              <w:t>4</w:t>
            </w:r>
            <w:r w:rsidR="00E22B2A">
              <w:rPr>
                <w:rFonts w:ascii="宋体" w:hAnsi="宋体" w:cs="宋体" w:hint="eastAsia"/>
              </w:rPr>
              <w:t>2</w:t>
            </w:r>
          </w:p>
        </w:tc>
      </w:tr>
      <w:tr w:rsidR="00B23A40" w:rsidTr="004B59C4">
        <w:trPr>
          <w:trHeight w:val="285"/>
        </w:trPr>
        <w:tc>
          <w:tcPr>
            <w:tcW w:w="7938" w:type="dxa"/>
          </w:tcPr>
          <w:p w:rsidR="00B23A40" w:rsidRDefault="00DD1A0D">
            <w:pPr>
              <w:rPr>
                <w:rFonts w:ascii="宋体" w:cs="Times New Roman"/>
              </w:rPr>
            </w:pPr>
            <w:r>
              <w:rPr>
                <w:rFonts w:ascii="宋体" w:cs="Times New Roman" w:hint="eastAsia"/>
              </w:rPr>
              <w:t>十、</w:t>
            </w:r>
            <w:r>
              <w:rPr>
                <w:rFonts w:ascii="宋体" w:hAnsi="宋体" w:cs="宋体" w:hint="eastAsia"/>
              </w:rPr>
              <w:t>贝伐珠单抗</w:t>
            </w:r>
            <w:r>
              <w:rPr>
                <w:rFonts w:ascii="宋体" w:cs="Times New Roman" w:hint="eastAsia"/>
              </w:rPr>
              <w:t>………………………………………………………………………………</w:t>
            </w:r>
          </w:p>
          <w:p w:rsidR="00B23A40" w:rsidRDefault="00DD1A0D">
            <w:pPr>
              <w:rPr>
                <w:rFonts w:ascii="宋体" w:cs="Times New Roman"/>
              </w:rPr>
            </w:pPr>
            <w:r>
              <w:rPr>
                <w:rFonts w:ascii="宋体" w:cs="Times New Roman" w:hint="eastAsia"/>
              </w:rPr>
              <w:lastRenderedPageBreak/>
              <w:t>十一、呋喹替尼………………………………………………………………………………</w:t>
            </w:r>
          </w:p>
        </w:tc>
        <w:tc>
          <w:tcPr>
            <w:tcW w:w="498" w:type="dxa"/>
          </w:tcPr>
          <w:p w:rsidR="00B23A40" w:rsidRDefault="00DD1A0D">
            <w:pPr>
              <w:rPr>
                <w:rFonts w:ascii="宋体" w:cs="Times New Roman"/>
              </w:rPr>
            </w:pPr>
            <w:r>
              <w:rPr>
                <w:rFonts w:ascii="宋体" w:cs="Times New Roman" w:hint="eastAsia"/>
              </w:rPr>
              <w:lastRenderedPageBreak/>
              <w:t>4</w:t>
            </w:r>
            <w:r w:rsidR="00E22B2A">
              <w:rPr>
                <w:rFonts w:ascii="宋体" w:cs="Times New Roman" w:hint="eastAsia"/>
              </w:rPr>
              <w:t>3</w:t>
            </w:r>
          </w:p>
          <w:p w:rsidR="00B23A40" w:rsidRDefault="00E22B2A">
            <w:pPr>
              <w:rPr>
                <w:rFonts w:ascii="宋体" w:cs="Times New Roman"/>
              </w:rPr>
            </w:pPr>
            <w:r>
              <w:rPr>
                <w:rFonts w:ascii="宋体" w:cs="Times New Roman" w:hint="eastAsia"/>
              </w:rPr>
              <w:lastRenderedPageBreak/>
              <w:t>45</w:t>
            </w:r>
          </w:p>
        </w:tc>
      </w:tr>
    </w:tbl>
    <w:p w:rsidR="00B23A40" w:rsidRDefault="00DD1A0D">
      <w:pPr>
        <w:spacing w:line="360" w:lineRule="auto"/>
        <w:rPr>
          <w:rFonts w:ascii="宋体" w:cs="Times New Roman"/>
          <w:b/>
          <w:bCs/>
        </w:rPr>
      </w:pPr>
      <w:r>
        <w:rPr>
          <w:rFonts w:ascii="宋体" w:hAnsi="宋体" w:cs="宋体" w:hint="eastAsia"/>
          <w:b/>
          <w:bCs/>
        </w:rPr>
        <w:lastRenderedPageBreak/>
        <w:t>血液肿瘤用药</w:t>
      </w:r>
    </w:p>
    <w:tbl>
      <w:tblPr>
        <w:tblW w:w="8522" w:type="dxa"/>
        <w:tblInd w:w="-106" w:type="dxa"/>
        <w:tblLayout w:type="fixed"/>
        <w:tblLook w:val="04A0" w:firstRow="1" w:lastRow="0" w:firstColumn="1" w:lastColumn="0" w:noHBand="0" w:noVBand="1"/>
      </w:tblPr>
      <w:tblGrid>
        <w:gridCol w:w="7958"/>
        <w:gridCol w:w="564"/>
      </w:tblGrid>
      <w:tr w:rsidR="00B23A40">
        <w:trPr>
          <w:trHeight w:val="285"/>
        </w:trPr>
        <w:tc>
          <w:tcPr>
            <w:tcW w:w="7958" w:type="dxa"/>
          </w:tcPr>
          <w:p w:rsidR="00B23A40" w:rsidRDefault="00DD1A0D">
            <w:pPr>
              <w:rPr>
                <w:rFonts w:ascii="宋体" w:cs="Times New Roman"/>
              </w:rPr>
            </w:pPr>
            <w:r>
              <w:rPr>
                <w:rFonts w:ascii="宋体" w:hAnsi="宋体" w:cs="宋体" w:hint="eastAsia"/>
              </w:rPr>
              <w:t>一、伊马替尼</w:t>
            </w:r>
            <w:r>
              <w:rPr>
                <w:rFonts w:ascii="宋体" w:cs="宋体" w:hint="eastAsia"/>
              </w:rPr>
              <w:t>…………………………………………………………………………………</w:t>
            </w:r>
          </w:p>
        </w:tc>
        <w:tc>
          <w:tcPr>
            <w:tcW w:w="564" w:type="dxa"/>
          </w:tcPr>
          <w:p w:rsidR="00B23A40" w:rsidRDefault="00DD1A0D">
            <w:pPr>
              <w:rPr>
                <w:rFonts w:ascii="宋体" w:cs="Times New Roman"/>
              </w:rPr>
            </w:pPr>
            <w:r>
              <w:rPr>
                <w:rFonts w:ascii="宋体" w:hAnsi="宋体" w:cs="宋体" w:hint="eastAsia"/>
              </w:rPr>
              <w:t>4</w:t>
            </w:r>
            <w:r w:rsidR="00E22B2A">
              <w:rPr>
                <w:rFonts w:ascii="宋体" w:hAnsi="宋体" w:cs="宋体" w:hint="eastAsia"/>
              </w:rPr>
              <w:t>6</w:t>
            </w:r>
          </w:p>
        </w:tc>
      </w:tr>
      <w:tr w:rsidR="00B23A40">
        <w:trPr>
          <w:trHeight w:val="285"/>
        </w:trPr>
        <w:tc>
          <w:tcPr>
            <w:tcW w:w="7958" w:type="dxa"/>
          </w:tcPr>
          <w:p w:rsidR="00B23A40" w:rsidRDefault="00DD1A0D">
            <w:pPr>
              <w:rPr>
                <w:rFonts w:ascii="宋体" w:cs="Times New Roman"/>
              </w:rPr>
            </w:pPr>
            <w:r>
              <w:rPr>
                <w:rFonts w:ascii="宋体" w:hAnsi="宋体" w:cs="宋体" w:hint="eastAsia"/>
              </w:rPr>
              <w:t>二、达沙替尼</w:t>
            </w:r>
            <w:r>
              <w:rPr>
                <w:rFonts w:ascii="宋体" w:cs="宋体" w:hint="eastAsia"/>
              </w:rPr>
              <w:t>…………………………………………………………………………………</w:t>
            </w:r>
          </w:p>
        </w:tc>
        <w:tc>
          <w:tcPr>
            <w:tcW w:w="564" w:type="dxa"/>
          </w:tcPr>
          <w:p w:rsidR="00B23A40" w:rsidRDefault="00DD1A0D">
            <w:pPr>
              <w:rPr>
                <w:rFonts w:ascii="宋体" w:cs="Times New Roman"/>
              </w:rPr>
            </w:pPr>
            <w:r>
              <w:rPr>
                <w:rFonts w:ascii="宋体" w:hAnsi="宋体" w:cs="宋体" w:hint="eastAsia"/>
              </w:rPr>
              <w:t>4</w:t>
            </w:r>
            <w:r w:rsidR="00E22B2A">
              <w:rPr>
                <w:rFonts w:ascii="宋体" w:hAnsi="宋体" w:cs="宋体" w:hint="eastAsia"/>
              </w:rPr>
              <w:t>8</w:t>
            </w:r>
          </w:p>
        </w:tc>
      </w:tr>
      <w:tr w:rsidR="00B23A40">
        <w:trPr>
          <w:trHeight w:val="285"/>
        </w:trPr>
        <w:tc>
          <w:tcPr>
            <w:tcW w:w="7958" w:type="dxa"/>
          </w:tcPr>
          <w:p w:rsidR="00B23A40" w:rsidRDefault="00DD1A0D">
            <w:pPr>
              <w:rPr>
                <w:rFonts w:ascii="宋体" w:cs="Times New Roman"/>
              </w:rPr>
            </w:pPr>
            <w:r>
              <w:rPr>
                <w:rFonts w:ascii="宋体" w:hAnsi="宋体" w:cs="宋体" w:hint="eastAsia"/>
              </w:rPr>
              <w:t>三、尼洛替尼</w:t>
            </w:r>
            <w:r>
              <w:rPr>
                <w:rFonts w:ascii="宋体" w:cs="宋体" w:hint="eastAsia"/>
              </w:rPr>
              <w:t>…………………………………………………………………………………</w:t>
            </w:r>
          </w:p>
        </w:tc>
        <w:tc>
          <w:tcPr>
            <w:tcW w:w="564" w:type="dxa"/>
          </w:tcPr>
          <w:p w:rsidR="00B23A40" w:rsidRDefault="00E22B2A">
            <w:pPr>
              <w:rPr>
                <w:rFonts w:ascii="宋体" w:cs="Times New Roman"/>
              </w:rPr>
            </w:pPr>
            <w:r>
              <w:rPr>
                <w:rFonts w:ascii="宋体" w:hAnsi="宋体" w:cs="宋体" w:hint="eastAsia"/>
              </w:rPr>
              <w:t>49</w:t>
            </w:r>
          </w:p>
        </w:tc>
      </w:tr>
      <w:tr w:rsidR="00B23A40">
        <w:trPr>
          <w:trHeight w:val="285"/>
        </w:trPr>
        <w:tc>
          <w:tcPr>
            <w:tcW w:w="7958" w:type="dxa"/>
          </w:tcPr>
          <w:p w:rsidR="00B23A40" w:rsidRDefault="00DD1A0D">
            <w:pPr>
              <w:rPr>
                <w:rFonts w:ascii="宋体" w:cs="Times New Roman"/>
              </w:rPr>
            </w:pPr>
            <w:r>
              <w:rPr>
                <w:rFonts w:ascii="宋体" w:hAnsi="宋体" w:cs="宋体" w:hint="eastAsia"/>
              </w:rPr>
              <w:t>四、伊布替尼</w:t>
            </w:r>
            <w:r>
              <w:rPr>
                <w:rFonts w:ascii="宋体" w:cs="宋体" w:hint="eastAsia"/>
              </w:rPr>
              <w:t>…………………………………………………………………………………</w:t>
            </w:r>
          </w:p>
        </w:tc>
        <w:tc>
          <w:tcPr>
            <w:tcW w:w="564" w:type="dxa"/>
          </w:tcPr>
          <w:p w:rsidR="00B23A40" w:rsidRDefault="00E22B2A">
            <w:pPr>
              <w:rPr>
                <w:rFonts w:ascii="宋体" w:cs="Times New Roman"/>
              </w:rPr>
            </w:pPr>
            <w:r>
              <w:rPr>
                <w:rFonts w:ascii="宋体" w:hAnsi="宋体" w:cs="宋体" w:hint="eastAsia"/>
              </w:rPr>
              <w:t>49</w:t>
            </w:r>
          </w:p>
        </w:tc>
      </w:tr>
      <w:tr w:rsidR="00B23A40">
        <w:trPr>
          <w:trHeight w:val="285"/>
        </w:trPr>
        <w:tc>
          <w:tcPr>
            <w:tcW w:w="7958" w:type="dxa"/>
          </w:tcPr>
          <w:p w:rsidR="00B23A40" w:rsidRDefault="00DD1A0D">
            <w:pPr>
              <w:rPr>
                <w:rFonts w:ascii="宋体" w:cs="Times New Roman"/>
              </w:rPr>
            </w:pPr>
            <w:r>
              <w:rPr>
                <w:rFonts w:ascii="宋体" w:hAnsi="宋体" w:cs="宋体" w:hint="eastAsia"/>
              </w:rPr>
              <w:t>五、利妥昔单抗</w:t>
            </w:r>
            <w:r>
              <w:rPr>
                <w:rFonts w:ascii="宋体" w:cs="宋体" w:hint="eastAsia"/>
              </w:rPr>
              <w:t>………………………………………………………………………………</w:t>
            </w:r>
          </w:p>
        </w:tc>
        <w:tc>
          <w:tcPr>
            <w:tcW w:w="564" w:type="dxa"/>
          </w:tcPr>
          <w:p w:rsidR="00B23A40" w:rsidRDefault="00DD1A0D">
            <w:pPr>
              <w:rPr>
                <w:rFonts w:ascii="宋体" w:cs="Times New Roman"/>
              </w:rPr>
            </w:pPr>
            <w:r>
              <w:rPr>
                <w:rFonts w:ascii="宋体" w:hAnsi="宋体" w:cs="宋体" w:hint="eastAsia"/>
              </w:rPr>
              <w:t>5</w:t>
            </w:r>
            <w:r w:rsidR="00E22B2A">
              <w:rPr>
                <w:rFonts w:ascii="宋体" w:hAnsi="宋体" w:cs="宋体" w:hint="eastAsia"/>
              </w:rPr>
              <w:t>1</w:t>
            </w:r>
          </w:p>
        </w:tc>
      </w:tr>
      <w:tr w:rsidR="00B23A40">
        <w:trPr>
          <w:trHeight w:val="285"/>
        </w:trPr>
        <w:tc>
          <w:tcPr>
            <w:tcW w:w="7958" w:type="dxa"/>
          </w:tcPr>
          <w:p w:rsidR="00B23A40" w:rsidRDefault="00DD1A0D">
            <w:pPr>
              <w:rPr>
                <w:rFonts w:ascii="宋体" w:cs="Times New Roman"/>
              </w:rPr>
            </w:pPr>
            <w:r>
              <w:rPr>
                <w:rFonts w:ascii="宋体" w:hAnsi="宋体" w:cs="宋体" w:hint="eastAsia"/>
              </w:rPr>
              <w:t>六、西达本胺</w:t>
            </w:r>
            <w:r>
              <w:rPr>
                <w:rFonts w:ascii="宋体" w:cs="宋体" w:hint="eastAsia"/>
              </w:rPr>
              <w:t>…………………………………………………………………………………</w:t>
            </w:r>
          </w:p>
        </w:tc>
        <w:tc>
          <w:tcPr>
            <w:tcW w:w="564" w:type="dxa"/>
          </w:tcPr>
          <w:p w:rsidR="00B23A40" w:rsidRDefault="00DD1A0D">
            <w:pPr>
              <w:rPr>
                <w:rFonts w:ascii="宋体" w:cs="Times New Roman"/>
              </w:rPr>
            </w:pPr>
            <w:r>
              <w:rPr>
                <w:rFonts w:ascii="宋体" w:hAnsi="宋体" w:cs="宋体" w:hint="eastAsia"/>
              </w:rPr>
              <w:t>5</w:t>
            </w:r>
            <w:r w:rsidR="00E22B2A">
              <w:rPr>
                <w:rFonts w:ascii="宋体" w:hAnsi="宋体" w:cs="宋体" w:hint="eastAsia"/>
              </w:rPr>
              <w:t>3</w:t>
            </w:r>
          </w:p>
        </w:tc>
      </w:tr>
      <w:tr w:rsidR="00B23A40">
        <w:trPr>
          <w:trHeight w:val="285"/>
        </w:trPr>
        <w:tc>
          <w:tcPr>
            <w:tcW w:w="7958" w:type="dxa"/>
          </w:tcPr>
          <w:p w:rsidR="00B23A40" w:rsidRDefault="00DD1A0D">
            <w:pPr>
              <w:rPr>
                <w:rFonts w:ascii="宋体" w:cs="宋体"/>
              </w:rPr>
            </w:pPr>
            <w:r>
              <w:rPr>
                <w:rFonts w:ascii="宋体" w:hAnsi="宋体" w:cs="宋体" w:hint="eastAsia"/>
              </w:rPr>
              <w:t>七、硼替佐米</w:t>
            </w:r>
            <w:r>
              <w:rPr>
                <w:rFonts w:ascii="宋体" w:cs="宋体" w:hint="eastAsia"/>
              </w:rPr>
              <w:t>…………………………………………………………………………………</w:t>
            </w:r>
          </w:p>
          <w:p w:rsidR="00B23A40" w:rsidRDefault="00DD1A0D">
            <w:pPr>
              <w:rPr>
                <w:rFonts w:ascii="宋体" w:cs="宋体"/>
              </w:rPr>
            </w:pPr>
            <w:r>
              <w:rPr>
                <w:rFonts w:ascii="宋体" w:cs="Times New Roman" w:hint="eastAsia"/>
              </w:rPr>
              <w:t>八、信迪利单抗</w:t>
            </w:r>
            <w:r>
              <w:rPr>
                <w:rFonts w:ascii="宋体" w:cs="宋体" w:hint="eastAsia"/>
              </w:rPr>
              <w:t>………………………………………………………………………………</w:t>
            </w:r>
          </w:p>
          <w:p w:rsidR="00B23A40" w:rsidRDefault="00DD1A0D">
            <w:pPr>
              <w:rPr>
                <w:rFonts w:ascii="宋体" w:cs="Times New Roman"/>
              </w:rPr>
            </w:pPr>
            <w:r>
              <w:rPr>
                <w:rFonts w:ascii="宋体" w:cs="宋体" w:hint="eastAsia"/>
              </w:rPr>
              <w:t>九、</w:t>
            </w:r>
            <w:r>
              <w:rPr>
                <w:rFonts w:ascii="宋体" w:cs="Times New Roman" w:hint="eastAsia"/>
              </w:rPr>
              <w:t>卡瑞利珠单抗</w:t>
            </w:r>
            <w:r>
              <w:rPr>
                <w:rFonts w:ascii="宋体" w:cs="宋体" w:hint="eastAsia"/>
              </w:rPr>
              <w:t>……………………………………………………………………………</w:t>
            </w:r>
          </w:p>
        </w:tc>
        <w:tc>
          <w:tcPr>
            <w:tcW w:w="564" w:type="dxa"/>
          </w:tcPr>
          <w:p w:rsidR="00B23A40" w:rsidRDefault="00DD1A0D">
            <w:pPr>
              <w:rPr>
                <w:rFonts w:ascii="宋体" w:hAnsi="宋体" w:cs="宋体"/>
              </w:rPr>
            </w:pPr>
            <w:r>
              <w:rPr>
                <w:rFonts w:ascii="宋体" w:hAnsi="宋体" w:cs="宋体" w:hint="eastAsia"/>
              </w:rPr>
              <w:t>5</w:t>
            </w:r>
            <w:r w:rsidR="00E22B2A">
              <w:rPr>
                <w:rFonts w:ascii="宋体" w:hAnsi="宋体" w:cs="宋体" w:hint="eastAsia"/>
              </w:rPr>
              <w:t>4</w:t>
            </w:r>
          </w:p>
          <w:p w:rsidR="00B23A40" w:rsidRDefault="00DD1A0D">
            <w:pPr>
              <w:rPr>
                <w:rFonts w:ascii="宋体" w:cs="Times New Roman"/>
              </w:rPr>
            </w:pPr>
            <w:r>
              <w:rPr>
                <w:rFonts w:ascii="宋体" w:cs="Times New Roman" w:hint="eastAsia"/>
              </w:rPr>
              <w:t>5</w:t>
            </w:r>
            <w:r w:rsidR="00E22B2A">
              <w:rPr>
                <w:rFonts w:ascii="宋体" w:cs="Times New Roman" w:hint="eastAsia"/>
              </w:rPr>
              <w:t>6</w:t>
            </w:r>
          </w:p>
          <w:p w:rsidR="00B23A40" w:rsidRDefault="00E22B2A">
            <w:pPr>
              <w:rPr>
                <w:rFonts w:ascii="宋体" w:cs="Times New Roman"/>
              </w:rPr>
            </w:pPr>
            <w:r>
              <w:rPr>
                <w:rFonts w:ascii="宋体" w:cs="Times New Roman" w:hint="eastAsia"/>
              </w:rPr>
              <w:t>59</w:t>
            </w:r>
          </w:p>
        </w:tc>
      </w:tr>
      <w:tr w:rsidR="00B23A40">
        <w:trPr>
          <w:trHeight w:val="285"/>
        </w:trPr>
        <w:tc>
          <w:tcPr>
            <w:tcW w:w="7958" w:type="dxa"/>
          </w:tcPr>
          <w:p w:rsidR="00B23A40" w:rsidRDefault="00DD1A0D">
            <w:pPr>
              <w:rPr>
                <w:rFonts w:ascii="宋体" w:cs="Times New Roman"/>
              </w:rPr>
            </w:pPr>
            <w:r>
              <w:rPr>
                <w:rFonts w:ascii="宋体" w:hAnsi="宋体" w:cs="宋体" w:hint="eastAsia"/>
              </w:rPr>
              <w:t>十、来那度胺</w:t>
            </w:r>
            <w:r>
              <w:rPr>
                <w:rFonts w:ascii="宋体" w:cs="宋体" w:hint="eastAsia"/>
              </w:rPr>
              <w:t>…………………………………………………………………………………</w:t>
            </w:r>
          </w:p>
        </w:tc>
        <w:tc>
          <w:tcPr>
            <w:tcW w:w="564" w:type="dxa"/>
          </w:tcPr>
          <w:p w:rsidR="00B23A40" w:rsidRDefault="00DD1A0D">
            <w:pPr>
              <w:rPr>
                <w:rFonts w:ascii="宋体" w:cs="Times New Roman"/>
              </w:rPr>
            </w:pPr>
            <w:r>
              <w:rPr>
                <w:rFonts w:ascii="宋体" w:hAnsi="宋体" w:cs="宋体" w:hint="eastAsia"/>
              </w:rPr>
              <w:t>6</w:t>
            </w:r>
            <w:r w:rsidR="00E22B2A">
              <w:rPr>
                <w:rFonts w:ascii="宋体" w:hAnsi="宋体" w:cs="宋体" w:hint="eastAsia"/>
              </w:rPr>
              <w:t>3</w:t>
            </w:r>
          </w:p>
        </w:tc>
      </w:tr>
      <w:tr w:rsidR="00B23A40">
        <w:trPr>
          <w:trHeight w:val="285"/>
        </w:trPr>
        <w:tc>
          <w:tcPr>
            <w:tcW w:w="7958" w:type="dxa"/>
          </w:tcPr>
          <w:p w:rsidR="00B23A40" w:rsidRDefault="00DD1A0D">
            <w:pPr>
              <w:rPr>
                <w:rFonts w:ascii="宋体" w:cs="宋体"/>
              </w:rPr>
            </w:pPr>
            <w:r>
              <w:rPr>
                <w:rFonts w:ascii="宋体" w:hAnsi="宋体" w:cs="宋体" w:hint="eastAsia"/>
              </w:rPr>
              <w:t>十一、沙利度胺</w:t>
            </w:r>
            <w:r>
              <w:rPr>
                <w:rFonts w:ascii="宋体" w:cs="宋体" w:hint="eastAsia"/>
              </w:rPr>
              <w:t>………………………………………………………………………………</w:t>
            </w:r>
          </w:p>
          <w:p w:rsidR="00B23A40" w:rsidRDefault="00DD1A0D">
            <w:pPr>
              <w:rPr>
                <w:rFonts w:ascii="宋体" w:cs="Times New Roman"/>
              </w:rPr>
            </w:pPr>
            <w:r>
              <w:rPr>
                <w:rFonts w:ascii="宋体" w:cs="Times New Roman" w:hint="eastAsia"/>
              </w:rPr>
              <w:t>十二、伊沙佐米</w:t>
            </w:r>
            <w:r>
              <w:rPr>
                <w:rFonts w:ascii="宋体" w:cs="宋体" w:hint="eastAsia"/>
              </w:rPr>
              <w:t>………………………………………………………………………………</w:t>
            </w:r>
          </w:p>
        </w:tc>
        <w:tc>
          <w:tcPr>
            <w:tcW w:w="564" w:type="dxa"/>
          </w:tcPr>
          <w:p w:rsidR="00B23A40" w:rsidRDefault="00DD1A0D">
            <w:pPr>
              <w:rPr>
                <w:rFonts w:ascii="宋体" w:hAnsi="宋体" w:cs="宋体"/>
              </w:rPr>
            </w:pPr>
            <w:r>
              <w:rPr>
                <w:rFonts w:ascii="宋体" w:hAnsi="宋体" w:cs="宋体" w:hint="eastAsia"/>
              </w:rPr>
              <w:t>6</w:t>
            </w:r>
            <w:r w:rsidR="00E22B2A">
              <w:rPr>
                <w:rFonts w:ascii="宋体" w:hAnsi="宋体" w:cs="宋体" w:hint="eastAsia"/>
              </w:rPr>
              <w:t>4</w:t>
            </w:r>
          </w:p>
          <w:p w:rsidR="00B23A40" w:rsidRDefault="00DD1A0D">
            <w:pPr>
              <w:rPr>
                <w:rFonts w:ascii="宋体" w:cs="Times New Roman"/>
              </w:rPr>
            </w:pPr>
            <w:r>
              <w:rPr>
                <w:rFonts w:ascii="宋体" w:hAnsi="宋体" w:cs="宋体" w:hint="eastAsia"/>
              </w:rPr>
              <w:t>6</w:t>
            </w:r>
            <w:r w:rsidR="00E22B2A">
              <w:rPr>
                <w:rFonts w:ascii="宋体" w:hAnsi="宋体" w:cs="宋体" w:hint="eastAsia"/>
              </w:rPr>
              <w:t>5</w:t>
            </w:r>
          </w:p>
        </w:tc>
      </w:tr>
      <w:tr w:rsidR="00B23A40">
        <w:trPr>
          <w:trHeight w:val="285"/>
        </w:trPr>
        <w:tc>
          <w:tcPr>
            <w:tcW w:w="7958" w:type="dxa"/>
          </w:tcPr>
          <w:p w:rsidR="00B23A40" w:rsidRDefault="00DD1A0D">
            <w:pPr>
              <w:rPr>
                <w:rFonts w:ascii="宋体" w:cs="Times New Roman"/>
              </w:rPr>
            </w:pPr>
            <w:r>
              <w:rPr>
                <w:rFonts w:ascii="宋体" w:hAnsi="宋体" w:cs="宋体" w:hint="eastAsia"/>
              </w:rPr>
              <w:t>十三、芦可替尼</w:t>
            </w:r>
            <w:r>
              <w:rPr>
                <w:rFonts w:ascii="宋体" w:cs="宋体" w:hint="eastAsia"/>
              </w:rPr>
              <w:t>………………………………………………………………………………</w:t>
            </w:r>
          </w:p>
        </w:tc>
        <w:tc>
          <w:tcPr>
            <w:tcW w:w="564" w:type="dxa"/>
          </w:tcPr>
          <w:p w:rsidR="00B23A40" w:rsidRDefault="00DD1A0D">
            <w:pPr>
              <w:rPr>
                <w:rFonts w:ascii="宋体" w:cs="Times New Roman"/>
              </w:rPr>
            </w:pPr>
            <w:r>
              <w:rPr>
                <w:rFonts w:ascii="宋体" w:hAnsi="宋体" w:cs="宋体" w:hint="eastAsia"/>
              </w:rPr>
              <w:t>6</w:t>
            </w:r>
            <w:r w:rsidR="00E22B2A">
              <w:rPr>
                <w:rFonts w:ascii="宋体" w:hAnsi="宋体" w:cs="宋体" w:hint="eastAsia"/>
              </w:rPr>
              <w:t>7</w:t>
            </w:r>
          </w:p>
        </w:tc>
      </w:tr>
    </w:tbl>
    <w:p w:rsidR="00B23A40" w:rsidRDefault="00DD1A0D">
      <w:pPr>
        <w:spacing w:line="360" w:lineRule="auto"/>
        <w:rPr>
          <w:rFonts w:ascii="宋体" w:cs="Times New Roman"/>
          <w:b/>
          <w:bCs/>
        </w:rPr>
      </w:pPr>
      <w:r>
        <w:rPr>
          <w:rFonts w:ascii="宋体" w:hAnsi="宋体" w:cs="宋体" w:hint="eastAsia"/>
          <w:b/>
          <w:bCs/>
        </w:rPr>
        <w:t>泌尿系统肿瘤用药</w:t>
      </w:r>
    </w:p>
    <w:tbl>
      <w:tblPr>
        <w:tblW w:w="8531" w:type="dxa"/>
        <w:tblInd w:w="-106" w:type="dxa"/>
        <w:tblLayout w:type="fixed"/>
        <w:tblLook w:val="04A0" w:firstRow="1" w:lastRow="0" w:firstColumn="1" w:lastColumn="0" w:noHBand="0" w:noVBand="1"/>
      </w:tblPr>
      <w:tblGrid>
        <w:gridCol w:w="7976"/>
        <w:gridCol w:w="555"/>
      </w:tblGrid>
      <w:tr w:rsidR="00B23A40">
        <w:trPr>
          <w:trHeight w:val="285"/>
        </w:trPr>
        <w:tc>
          <w:tcPr>
            <w:tcW w:w="7976" w:type="dxa"/>
          </w:tcPr>
          <w:p w:rsidR="00B23A40" w:rsidRDefault="00DD1A0D">
            <w:pPr>
              <w:rPr>
                <w:rFonts w:ascii="宋体" w:cs="Times New Roman"/>
              </w:rPr>
            </w:pPr>
            <w:r>
              <w:rPr>
                <w:rFonts w:ascii="宋体" w:hAnsi="宋体" w:cs="宋体" w:hint="eastAsia"/>
              </w:rPr>
              <w:t>一、依维莫司</w:t>
            </w:r>
            <w:r>
              <w:rPr>
                <w:rFonts w:ascii="宋体" w:cs="宋体" w:hint="eastAsia"/>
              </w:rPr>
              <w:t>…………………………………………………………………………………</w:t>
            </w:r>
          </w:p>
        </w:tc>
        <w:tc>
          <w:tcPr>
            <w:tcW w:w="555" w:type="dxa"/>
          </w:tcPr>
          <w:p w:rsidR="00B23A40" w:rsidRDefault="00E22B2A">
            <w:pPr>
              <w:rPr>
                <w:rFonts w:ascii="宋体" w:cs="Times New Roman"/>
              </w:rPr>
            </w:pPr>
            <w:r>
              <w:rPr>
                <w:rFonts w:ascii="宋体" w:hAnsi="宋体" w:cs="宋体" w:hint="eastAsia"/>
              </w:rPr>
              <w:t>68</w:t>
            </w:r>
          </w:p>
        </w:tc>
      </w:tr>
      <w:tr w:rsidR="00B23A40">
        <w:trPr>
          <w:trHeight w:val="285"/>
        </w:trPr>
        <w:tc>
          <w:tcPr>
            <w:tcW w:w="7976" w:type="dxa"/>
          </w:tcPr>
          <w:p w:rsidR="00B23A40" w:rsidRDefault="00DD1A0D">
            <w:pPr>
              <w:rPr>
                <w:rFonts w:ascii="宋体" w:cs="Times New Roman"/>
              </w:rPr>
            </w:pPr>
            <w:r>
              <w:rPr>
                <w:rFonts w:ascii="宋体" w:hAnsi="宋体" w:cs="宋体" w:hint="eastAsia"/>
              </w:rPr>
              <w:t>二、索拉非尼</w:t>
            </w:r>
            <w:r>
              <w:rPr>
                <w:rFonts w:ascii="宋体" w:cs="宋体" w:hint="eastAsia"/>
              </w:rPr>
              <w:t>…………………………………………………………………………………</w:t>
            </w:r>
          </w:p>
        </w:tc>
        <w:tc>
          <w:tcPr>
            <w:tcW w:w="555" w:type="dxa"/>
          </w:tcPr>
          <w:p w:rsidR="00B23A40" w:rsidRDefault="00E22B2A">
            <w:pPr>
              <w:rPr>
                <w:rFonts w:ascii="宋体" w:cs="Times New Roman"/>
              </w:rPr>
            </w:pPr>
            <w:r>
              <w:rPr>
                <w:rFonts w:ascii="宋体" w:hAnsi="宋体" w:cs="宋体" w:hint="eastAsia"/>
              </w:rPr>
              <w:t>69</w:t>
            </w:r>
          </w:p>
        </w:tc>
      </w:tr>
      <w:tr w:rsidR="00B23A40">
        <w:trPr>
          <w:trHeight w:val="285"/>
        </w:trPr>
        <w:tc>
          <w:tcPr>
            <w:tcW w:w="7976" w:type="dxa"/>
          </w:tcPr>
          <w:p w:rsidR="00B23A40" w:rsidRDefault="00DD1A0D">
            <w:pPr>
              <w:rPr>
                <w:rFonts w:ascii="宋体" w:cs="Times New Roman"/>
              </w:rPr>
            </w:pPr>
            <w:r>
              <w:rPr>
                <w:rFonts w:ascii="宋体" w:hAnsi="宋体" w:cs="宋体" w:hint="eastAsia"/>
              </w:rPr>
              <w:t>三、舒尼替尼</w:t>
            </w:r>
            <w:r>
              <w:rPr>
                <w:rFonts w:ascii="宋体" w:cs="宋体" w:hint="eastAsia"/>
              </w:rPr>
              <w:t>…………………………………………………………………………………</w:t>
            </w:r>
          </w:p>
        </w:tc>
        <w:tc>
          <w:tcPr>
            <w:tcW w:w="555" w:type="dxa"/>
          </w:tcPr>
          <w:p w:rsidR="00B23A40" w:rsidRDefault="00DD1A0D">
            <w:pPr>
              <w:rPr>
                <w:rFonts w:ascii="宋体" w:cs="Times New Roman"/>
              </w:rPr>
            </w:pPr>
            <w:r>
              <w:rPr>
                <w:rFonts w:ascii="宋体" w:hAnsi="宋体" w:cs="宋体" w:hint="eastAsia"/>
              </w:rPr>
              <w:t>7</w:t>
            </w:r>
            <w:r w:rsidR="00E22B2A">
              <w:rPr>
                <w:rFonts w:ascii="宋体" w:hAnsi="宋体" w:cs="宋体" w:hint="eastAsia"/>
              </w:rPr>
              <w:t>0</w:t>
            </w:r>
          </w:p>
        </w:tc>
      </w:tr>
      <w:tr w:rsidR="00B23A40">
        <w:trPr>
          <w:trHeight w:val="285"/>
        </w:trPr>
        <w:tc>
          <w:tcPr>
            <w:tcW w:w="7976" w:type="dxa"/>
          </w:tcPr>
          <w:p w:rsidR="00B23A40" w:rsidRDefault="00DD1A0D">
            <w:pPr>
              <w:rPr>
                <w:rFonts w:ascii="宋体" w:cs="Times New Roman"/>
              </w:rPr>
            </w:pPr>
            <w:r>
              <w:rPr>
                <w:rFonts w:ascii="宋体" w:hAnsi="宋体" w:cs="宋体" w:hint="eastAsia"/>
              </w:rPr>
              <w:t>四、阿昔替尼</w:t>
            </w:r>
            <w:r>
              <w:rPr>
                <w:rFonts w:ascii="宋体" w:cs="宋体" w:hint="eastAsia"/>
              </w:rPr>
              <w:t>…………………………………………………………………………………</w:t>
            </w:r>
          </w:p>
        </w:tc>
        <w:tc>
          <w:tcPr>
            <w:tcW w:w="555" w:type="dxa"/>
          </w:tcPr>
          <w:p w:rsidR="00B23A40" w:rsidRDefault="00DD1A0D">
            <w:pPr>
              <w:rPr>
                <w:rFonts w:ascii="宋体" w:cs="Times New Roman"/>
              </w:rPr>
            </w:pPr>
            <w:r>
              <w:rPr>
                <w:rFonts w:ascii="宋体" w:hAnsi="宋体" w:cs="宋体" w:hint="eastAsia"/>
              </w:rPr>
              <w:t>7</w:t>
            </w:r>
            <w:r w:rsidR="00E22B2A">
              <w:rPr>
                <w:rFonts w:ascii="宋体" w:hAnsi="宋体" w:cs="宋体" w:hint="eastAsia"/>
              </w:rPr>
              <w:t>0</w:t>
            </w:r>
          </w:p>
        </w:tc>
      </w:tr>
      <w:tr w:rsidR="00B23A40">
        <w:trPr>
          <w:trHeight w:val="285"/>
        </w:trPr>
        <w:tc>
          <w:tcPr>
            <w:tcW w:w="7976" w:type="dxa"/>
          </w:tcPr>
          <w:p w:rsidR="00B23A40" w:rsidRDefault="00DD1A0D">
            <w:pPr>
              <w:rPr>
                <w:rFonts w:ascii="宋体" w:cs="宋体"/>
              </w:rPr>
            </w:pPr>
            <w:r>
              <w:rPr>
                <w:rFonts w:ascii="宋体" w:hAnsi="宋体" w:cs="宋体" w:hint="eastAsia"/>
              </w:rPr>
              <w:t>五、培唑帕尼</w:t>
            </w:r>
            <w:r>
              <w:rPr>
                <w:rFonts w:ascii="宋体" w:cs="宋体" w:hint="eastAsia"/>
              </w:rPr>
              <w:t>…………………………………………………………………………………</w:t>
            </w:r>
          </w:p>
          <w:p w:rsidR="00E22B2A" w:rsidRDefault="00E22B2A">
            <w:pPr>
              <w:rPr>
                <w:rFonts w:ascii="宋体" w:cs="宋体"/>
              </w:rPr>
            </w:pPr>
            <w:r>
              <w:rPr>
                <w:rFonts w:ascii="宋体" w:cs="宋体" w:hint="eastAsia"/>
              </w:rPr>
              <w:t>六、</w:t>
            </w:r>
            <w:r>
              <w:rPr>
                <w:rFonts w:ascii="宋体" w:cs="Times New Roman" w:hint="eastAsia"/>
              </w:rPr>
              <w:t>帕博利珠单抗</w:t>
            </w:r>
            <w:r>
              <w:rPr>
                <w:rFonts w:ascii="宋体" w:cs="宋体" w:hint="eastAsia"/>
              </w:rPr>
              <w:t>……………………………………………………………………………</w:t>
            </w:r>
          </w:p>
          <w:p w:rsidR="00E22B2A" w:rsidRDefault="00E22B2A">
            <w:pPr>
              <w:rPr>
                <w:rFonts w:ascii="宋体" w:cs="Times New Roman"/>
              </w:rPr>
            </w:pPr>
            <w:r>
              <w:rPr>
                <w:rFonts w:ascii="宋体" w:cs="宋体" w:hint="eastAsia"/>
              </w:rPr>
              <w:t>七、</w:t>
            </w:r>
            <w:r>
              <w:rPr>
                <w:rFonts w:ascii="宋体" w:hAnsi="宋体" w:cs="宋体" w:hint="eastAsia"/>
              </w:rPr>
              <w:t>纳武利尤单抗</w:t>
            </w:r>
            <w:r>
              <w:rPr>
                <w:rFonts w:ascii="宋体" w:cs="宋体" w:hint="eastAsia"/>
              </w:rPr>
              <w:t>……………………………………………………………………………</w:t>
            </w:r>
          </w:p>
        </w:tc>
        <w:tc>
          <w:tcPr>
            <w:tcW w:w="555" w:type="dxa"/>
          </w:tcPr>
          <w:p w:rsidR="00B23A40" w:rsidRDefault="00DD1A0D">
            <w:pPr>
              <w:rPr>
                <w:rFonts w:ascii="宋体" w:hAnsi="宋体" w:cs="宋体"/>
              </w:rPr>
            </w:pPr>
            <w:r>
              <w:rPr>
                <w:rFonts w:ascii="宋体" w:hAnsi="宋体" w:cs="宋体" w:hint="eastAsia"/>
              </w:rPr>
              <w:t>7</w:t>
            </w:r>
            <w:r w:rsidR="00E22B2A">
              <w:rPr>
                <w:rFonts w:ascii="宋体" w:hAnsi="宋体" w:cs="宋体" w:hint="eastAsia"/>
              </w:rPr>
              <w:t>2</w:t>
            </w:r>
          </w:p>
          <w:p w:rsidR="00E22B2A" w:rsidRDefault="00E22B2A">
            <w:pPr>
              <w:rPr>
                <w:rFonts w:ascii="宋体" w:hAnsi="宋体" w:cs="宋体"/>
              </w:rPr>
            </w:pPr>
            <w:r>
              <w:rPr>
                <w:rFonts w:ascii="宋体" w:hAnsi="宋体" w:cs="宋体" w:hint="eastAsia"/>
              </w:rPr>
              <w:t>73</w:t>
            </w:r>
          </w:p>
          <w:p w:rsidR="000B6EE2" w:rsidRDefault="000B6EE2">
            <w:pPr>
              <w:rPr>
                <w:rFonts w:ascii="宋体" w:cs="Times New Roman"/>
              </w:rPr>
            </w:pPr>
            <w:r>
              <w:rPr>
                <w:rFonts w:ascii="宋体" w:hAnsi="宋体" w:cs="宋体" w:hint="eastAsia"/>
              </w:rPr>
              <w:t>74</w:t>
            </w:r>
          </w:p>
        </w:tc>
      </w:tr>
    </w:tbl>
    <w:p w:rsidR="00B23A40" w:rsidRDefault="00DD1A0D">
      <w:pPr>
        <w:spacing w:line="360" w:lineRule="auto"/>
        <w:rPr>
          <w:rFonts w:ascii="宋体" w:cs="Times New Roman"/>
          <w:b/>
          <w:bCs/>
        </w:rPr>
      </w:pPr>
      <w:r>
        <w:rPr>
          <w:rFonts w:ascii="宋体" w:hAnsi="宋体" w:cs="宋体" w:hint="eastAsia"/>
          <w:b/>
          <w:bCs/>
        </w:rPr>
        <w:t>乳腺癌用药</w:t>
      </w:r>
    </w:p>
    <w:tbl>
      <w:tblPr>
        <w:tblW w:w="8522" w:type="dxa"/>
        <w:tblInd w:w="-106" w:type="dxa"/>
        <w:tblLayout w:type="fixed"/>
        <w:tblLook w:val="04A0" w:firstRow="1" w:lastRow="0" w:firstColumn="1" w:lastColumn="0" w:noHBand="0" w:noVBand="1"/>
      </w:tblPr>
      <w:tblGrid>
        <w:gridCol w:w="7976"/>
        <w:gridCol w:w="546"/>
      </w:tblGrid>
      <w:tr w:rsidR="00B23A40">
        <w:trPr>
          <w:trHeight w:val="285"/>
        </w:trPr>
        <w:tc>
          <w:tcPr>
            <w:tcW w:w="7976" w:type="dxa"/>
          </w:tcPr>
          <w:p w:rsidR="00B23A40" w:rsidRDefault="00DD1A0D">
            <w:pPr>
              <w:rPr>
                <w:rFonts w:ascii="宋体" w:cs="Times New Roman"/>
              </w:rPr>
            </w:pPr>
            <w:r>
              <w:rPr>
                <w:rFonts w:ascii="宋体" w:hAnsi="宋体" w:cs="宋体" w:hint="eastAsia"/>
              </w:rPr>
              <w:t>一、曲妥珠单抗</w:t>
            </w:r>
            <w:r>
              <w:rPr>
                <w:rFonts w:ascii="宋体" w:cs="宋体" w:hint="eastAsia"/>
              </w:rPr>
              <w:t>………………………………………………………………………………</w:t>
            </w:r>
          </w:p>
        </w:tc>
        <w:tc>
          <w:tcPr>
            <w:tcW w:w="546" w:type="dxa"/>
          </w:tcPr>
          <w:p w:rsidR="00B23A40" w:rsidRDefault="00DD1A0D">
            <w:pPr>
              <w:rPr>
                <w:rFonts w:ascii="宋体" w:cs="Times New Roman"/>
              </w:rPr>
            </w:pPr>
            <w:r>
              <w:rPr>
                <w:rFonts w:ascii="宋体" w:hAnsi="宋体" w:cs="宋体" w:hint="eastAsia"/>
              </w:rPr>
              <w:t>7</w:t>
            </w:r>
            <w:r w:rsidR="009A40DA">
              <w:rPr>
                <w:rFonts w:ascii="宋体" w:hAnsi="宋体" w:cs="宋体" w:hint="eastAsia"/>
              </w:rPr>
              <w:t>7</w:t>
            </w:r>
          </w:p>
        </w:tc>
      </w:tr>
      <w:tr w:rsidR="00B23A40">
        <w:trPr>
          <w:trHeight w:val="195"/>
        </w:trPr>
        <w:tc>
          <w:tcPr>
            <w:tcW w:w="7976" w:type="dxa"/>
          </w:tcPr>
          <w:p w:rsidR="00B23A40" w:rsidRDefault="00DD1A0D">
            <w:pPr>
              <w:rPr>
                <w:rFonts w:ascii="宋体" w:cs="宋体"/>
              </w:rPr>
            </w:pPr>
            <w:r>
              <w:rPr>
                <w:rFonts w:ascii="宋体" w:hAnsi="宋体" w:cs="宋体" w:hint="eastAsia"/>
              </w:rPr>
              <w:t>二、拉帕替尼</w:t>
            </w:r>
            <w:r>
              <w:rPr>
                <w:rFonts w:ascii="宋体" w:cs="宋体" w:hint="eastAsia"/>
              </w:rPr>
              <w:t>…………………………………………………………………………………</w:t>
            </w:r>
          </w:p>
          <w:p w:rsidR="00B23A40" w:rsidRDefault="00DD1A0D">
            <w:pPr>
              <w:rPr>
                <w:rFonts w:ascii="宋体" w:cs="宋体"/>
              </w:rPr>
            </w:pPr>
            <w:r>
              <w:rPr>
                <w:rFonts w:ascii="宋体" w:cs="Times New Roman" w:hint="eastAsia"/>
              </w:rPr>
              <w:t>三、吡咯替尼</w:t>
            </w:r>
            <w:r>
              <w:rPr>
                <w:rFonts w:ascii="宋体" w:cs="宋体" w:hint="eastAsia"/>
              </w:rPr>
              <w:t>…………………………………………………………………………………</w:t>
            </w:r>
          </w:p>
          <w:p w:rsidR="00B23A40" w:rsidRDefault="00DD1A0D">
            <w:pPr>
              <w:rPr>
                <w:rFonts w:ascii="宋体" w:cs="宋体"/>
              </w:rPr>
            </w:pPr>
            <w:r>
              <w:rPr>
                <w:rFonts w:ascii="宋体" w:cs="Times New Roman" w:hint="eastAsia"/>
              </w:rPr>
              <w:t>四、帕妥珠单抗</w:t>
            </w:r>
            <w:r>
              <w:rPr>
                <w:rFonts w:ascii="宋体" w:cs="宋体" w:hint="eastAsia"/>
              </w:rPr>
              <w:t>………………………………………………………………………………</w:t>
            </w:r>
          </w:p>
          <w:p w:rsidR="00B23A40" w:rsidRDefault="00DD1A0D">
            <w:pPr>
              <w:rPr>
                <w:rFonts w:ascii="宋体" w:cs="Times New Roman"/>
              </w:rPr>
            </w:pPr>
            <w:r>
              <w:rPr>
                <w:rFonts w:ascii="宋体" w:cs="Times New Roman" w:hint="eastAsia"/>
              </w:rPr>
              <w:t>五、哌柏西利</w:t>
            </w:r>
            <w:r>
              <w:rPr>
                <w:rFonts w:ascii="宋体" w:cs="宋体" w:hint="eastAsia"/>
              </w:rPr>
              <w:t>…………………………………………………………………………………</w:t>
            </w:r>
          </w:p>
        </w:tc>
        <w:tc>
          <w:tcPr>
            <w:tcW w:w="546" w:type="dxa"/>
          </w:tcPr>
          <w:p w:rsidR="00B23A40" w:rsidRDefault="00DD1A0D">
            <w:pPr>
              <w:rPr>
                <w:rFonts w:ascii="宋体" w:hAnsi="宋体" w:cs="宋体"/>
              </w:rPr>
            </w:pPr>
            <w:r>
              <w:rPr>
                <w:rFonts w:ascii="宋体" w:hAnsi="宋体" w:cs="宋体" w:hint="eastAsia"/>
              </w:rPr>
              <w:t>7</w:t>
            </w:r>
            <w:r w:rsidR="00E22B2A">
              <w:rPr>
                <w:rFonts w:ascii="宋体" w:hAnsi="宋体" w:cs="宋体" w:hint="eastAsia"/>
              </w:rPr>
              <w:t>9</w:t>
            </w:r>
          </w:p>
          <w:p w:rsidR="00B23A40" w:rsidRDefault="000B6EE2">
            <w:pPr>
              <w:rPr>
                <w:rFonts w:ascii="宋体" w:hAnsi="宋体" w:cs="宋体"/>
              </w:rPr>
            </w:pPr>
            <w:r>
              <w:rPr>
                <w:rFonts w:ascii="宋体" w:hAnsi="宋体" w:cs="宋体" w:hint="eastAsia"/>
              </w:rPr>
              <w:t>80</w:t>
            </w:r>
          </w:p>
          <w:p w:rsidR="00B23A40" w:rsidRDefault="00DD1A0D">
            <w:pPr>
              <w:rPr>
                <w:rFonts w:ascii="宋体" w:hAnsi="宋体" w:cs="宋体"/>
              </w:rPr>
            </w:pPr>
            <w:r>
              <w:rPr>
                <w:rFonts w:ascii="宋体" w:hAnsi="宋体" w:cs="宋体" w:hint="eastAsia"/>
              </w:rPr>
              <w:t>8</w:t>
            </w:r>
            <w:r w:rsidR="000B6EE2">
              <w:rPr>
                <w:rFonts w:ascii="宋体" w:hAnsi="宋体" w:cs="宋体" w:hint="eastAsia"/>
              </w:rPr>
              <w:t>2</w:t>
            </w:r>
          </w:p>
          <w:p w:rsidR="00B23A40" w:rsidRDefault="00DD1A0D" w:rsidP="000B6EE2">
            <w:pPr>
              <w:rPr>
                <w:rFonts w:ascii="宋体" w:cs="Times New Roman"/>
              </w:rPr>
            </w:pPr>
            <w:r>
              <w:rPr>
                <w:rFonts w:ascii="宋体" w:hAnsi="宋体" w:cs="宋体" w:hint="eastAsia"/>
              </w:rPr>
              <w:t>8</w:t>
            </w:r>
            <w:r w:rsidR="000B6EE2">
              <w:rPr>
                <w:rFonts w:ascii="宋体" w:hAnsi="宋体" w:cs="宋体" w:hint="eastAsia"/>
              </w:rPr>
              <w:t>5</w:t>
            </w:r>
          </w:p>
        </w:tc>
      </w:tr>
    </w:tbl>
    <w:p w:rsidR="00B23A40" w:rsidRDefault="00DD1A0D">
      <w:pPr>
        <w:spacing w:line="360" w:lineRule="auto"/>
        <w:rPr>
          <w:rFonts w:ascii="宋体" w:cs="Times New Roman"/>
          <w:b/>
          <w:bCs/>
        </w:rPr>
      </w:pPr>
      <w:r>
        <w:rPr>
          <w:rFonts w:ascii="宋体" w:hAnsi="宋体" w:cs="宋体" w:hint="eastAsia"/>
          <w:b/>
          <w:bCs/>
        </w:rPr>
        <w:t>皮肤及软组织肿瘤用药</w:t>
      </w:r>
    </w:p>
    <w:tbl>
      <w:tblPr>
        <w:tblW w:w="8522" w:type="dxa"/>
        <w:tblInd w:w="-106" w:type="dxa"/>
        <w:tblLayout w:type="fixed"/>
        <w:tblLook w:val="04A0" w:firstRow="1" w:lastRow="0" w:firstColumn="1" w:lastColumn="0" w:noHBand="0" w:noVBand="1"/>
      </w:tblPr>
      <w:tblGrid>
        <w:gridCol w:w="7961"/>
        <w:gridCol w:w="561"/>
      </w:tblGrid>
      <w:tr w:rsidR="00B23A40">
        <w:trPr>
          <w:trHeight w:val="285"/>
        </w:trPr>
        <w:tc>
          <w:tcPr>
            <w:tcW w:w="7961" w:type="dxa"/>
          </w:tcPr>
          <w:p w:rsidR="00B23A40" w:rsidRDefault="00DD1A0D">
            <w:pPr>
              <w:rPr>
                <w:rFonts w:ascii="宋体" w:cs="Times New Roman"/>
              </w:rPr>
            </w:pPr>
            <w:r>
              <w:rPr>
                <w:rFonts w:ascii="宋体" w:hAnsi="宋体" w:cs="宋体" w:hint="eastAsia"/>
              </w:rPr>
              <w:t>一、伊马替尼</w:t>
            </w:r>
            <w:r>
              <w:rPr>
                <w:rFonts w:ascii="宋体" w:cs="宋体" w:hint="eastAsia"/>
              </w:rPr>
              <w:t>…………………………………………………………………………………</w:t>
            </w:r>
          </w:p>
        </w:tc>
        <w:tc>
          <w:tcPr>
            <w:tcW w:w="561" w:type="dxa"/>
          </w:tcPr>
          <w:p w:rsidR="00B23A40" w:rsidRDefault="00DD1A0D" w:rsidP="000B6EE2">
            <w:pPr>
              <w:rPr>
                <w:rFonts w:ascii="宋体" w:cs="Times New Roman"/>
              </w:rPr>
            </w:pPr>
            <w:r>
              <w:rPr>
                <w:rFonts w:ascii="宋体" w:hAnsi="宋体" w:cs="宋体" w:hint="eastAsia"/>
              </w:rPr>
              <w:t>8</w:t>
            </w:r>
            <w:r w:rsidR="000B6EE2">
              <w:rPr>
                <w:rFonts w:ascii="宋体" w:hAnsi="宋体" w:cs="宋体" w:hint="eastAsia"/>
              </w:rPr>
              <w:t>7</w:t>
            </w:r>
          </w:p>
        </w:tc>
      </w:tr>
      <w:tr w:rsidR="00B23A40">
        <w:trPr>
          <w:trHeight w:val="285"/>
        </w:trPr>
        <w:tc>
          <w:tcPr>
            <w:tcW w:w="7961" w:type="dxa"/>
          </w:tcPr>
          <w:p w:rsidR="00B23A40" w:rsidRDefault="00DD1A0D">
            <w:pPr>
              <w:rPr>
                <w:rFonts w:ascii="宋体" w:cs="宋体"/>
              </w:rPr>
            </w:pPr>
            <w:r>
              <w:rPr>
                <w:rFonts w:ascii="宋体" w:hAnsi="宋体" w:cs="宋体" w:hint="eastAsia"/>
              </w:rPr>
              <w:t>二、维莫非尼</w:t>
            </w:r>
            <w:r>
              <w:rPr>
                <w:rFonts w:ascii="宋体" w:cs="宋体" w:hint="eastAsia"/>
              </w:rPr>
              <w:t>…………………………………………………………………………………</w:t>
            </w:r>
          </w:p>
          <w:p w:rsidR="00B23A40" w:rsidRDefault="00DD1A0D">
            <w:pPr>
              <w:rPr>
                <w:rFonts w:ascii="宋体" w:cs="宋体"/>
              </w:rPr>
            </w:pPr>
            <w:r>
              <w:rPr>
                <w:rFonts w:ascii="宋体" w:cs="Times New Roman" w:hint="eastAsia"/>
              </w:rPr>
              <w:t>三、帕博利珠单抗</w:t>
            </w:r>
            <w:r>
              <w:rPr>
                <w:rFonts w:ascii="宋体" w:cs="宋体" w:hint="eastAsia"/>
              </w:rPr>
              <w:t>……………………………………………………………………………</w:t>
            </w:r>
          </w:p>
          <w:p w:rsidR="00B23A40" w:rsidRDefault="00DD1A0D">
            <w:pPr>
              <w:rPr>
                <w:rFonts w:ascii="宋体" w:cs="Times New Roman"/>
              </w:rPr>
            </w:pPr>
            <w:r>
              <w:rPr>
                <w:rFonts w:ascii="宋体" w:cs="Times New Roman" w:hint="eastAsia"/>
              </w:rPr>
              <w:t>四、特瑞普利单抗</w:t>
            </w:r>
            <w:r>
              <w:rPr>
                <w:rFonts w:ascii="宋体" w:cs="宋体" w:hint="eastAsia"/>
              </w:rPr>
              <w:t>……………………………………………………………………………</w:t>
            </w:r>
          </w:p>
        </w:tc>
        <w:tc>
          <w:tcPr>
            <w:tcW w:w="561" w:type="dxa"/>
          </w:tcPr>
          <w:p w:rsidR="00B23A40" w:rsidRDefault="00DD1A0D">
            <w:pPr>
              <w:rPr>
                <w:rFonts w:ascii="宋体" w:hAnsi="宋体" w:cs="宋体"/>
              </w:rPr>
            </w:pPr>
            <w:r>
              <w:rPr>
                <w:rFonts w:ascii="宋体" w:hAnsi="宋体" w:cs="宋体" w:hint="eastAsia"/>
              </w:rPr>
              <w:t>8</w:t>
            </w:r>
            <w:r w:rsidR="000B6EE2">
              <w:rPr>
                <w:rFonts w:ascii="宋体" w:hAnsi="宋体" w:cs="宋体" w:hint="eastAsia"/>
              </w:rPr>
              <w:t>7</w:t>
            </w:r>
          </w:p>
          <w:p w:rsidR="00B23A40" w:rsidRDefault="00DD1A0D">
            <w:pPr>
              <w:rPr>
                <w:rFonts w:ascii="宋体" w:hAnsi="宋体" w:cs="宋体"/>
              </w:rPr>
            </w:pPr>
            <w:r>
              <w:rPr>
                <w:rFonts w:ascii="宋体" w:hAnsi="宋体" w:cs="宋体" w:hint="eastAsia"/>
              </w:rPr>
              <w:t>8</w:t>
            </w:r>
            <w:r w:rsidR="000B6EE2">
              <w:rPr>
                <w:rFonts w:ascii="宋体" w:hAnsi="宋体" w:cs="宋体" w:hint="eastAsia"/>
              </w:rPr>
              <w:t>8</w:t>
            </w:r>
          </w:p>
          <w:p w:rsidR="00B23A40" w:rsidRDefault="000B6EE2">
            <w:pPr>
              <w:rPr>
                <w:rFonts w:ascii="宋体" w:cs="Times New Roman"/>
              </w:rPr>
            </w:pPr>
            <w:r>
              <w:rPr>
                <w:rFonts w:ascii="宋体" w:hAnsi="宋体" w:cs="宋体" w:hint="eastAsia"/>
              </w:rPr>
              <w:t>90</w:t>
            </w:r>
          </w:p>
        </w:tc>
      </w:tr>
      <w:tr w:rsidR="00B23A40">
        <w:trPr>
          <w:trHeight w:val="285"/>
        </w:trPr>
        <w:tc>
          <w:tcPr>
            <w:tcW w:w="7961" w:type="dxa"/>
          </w:tcPr>
          <w:p w:rsidR="00B23A40" w:rsidRDefault="00DD1A0D">
            <w:pPr>
              <w:rPr>
                <w:rFonts w:ascii="宋体" w:cs="Times New Roman"/>
              </w:rPr>
            </w:pPr>
            <w:r>
              <w:rPr>
                <w:rFonts w:ascii="宋体" w:hAnsi="宋体" w:cs="宋体" w:hint="eastAsia"/>
              </w:rPr>
              <w:t>五、依维莫司</w:t>
            </w:r>
            <w:r>
              <w:rPr>
                <w:rFonts w:ascii="宋体" w:cs="宋体" w:hint="eastAsia"/>
              </w:rPr>
              <w:t>…………………………………………………………………………………</w:t>
            </w:r>
          </w:p>
        </w:tc>
        <w:tc>
          <w:tcPr>
            <w:tcW w:w="561" w:type="dxa"/>
          </w:tcPr>
          <w:p w:rsidR="00B23A40" w:rsidRDefault="00DD1A0D" w:rsidP="000B6EE2">
            <w:pPr>
              <w:rPr>
                <w:rFonts w:ascii="宋体" w:cs="Times New Roman"/>
              </w:rPr>
            </w:pPr>
            <w:r>
              <w:rPr>
                <w:rFonts w:ascii="宋体" w:hAnsi="宋体" w:cs="宋体" w:hint="eastAsia"/>
              </w:rPr>
              <w:t>9</w:t>
            </w:r>
            <w:r w:rsidR="000B6EE2">
              <w:rPr>
                <w:rFonts w:ascii="宋体" w:hAnsi="宋体" w:cs="宋体" w:hint="eastAsia"/>
              </w:rPr>
              <w:t>2</w:t>
            </w:r>
          </w:p>
        </w:tc>
      </w:tr>
    </w:tbl>
    <w:p w:rsidR="00B23A40" w:rsidRDefault="00DD1A0D">
      <w:pPr>
        <w:spacing w:line="360" w:lineRule="auto"/>
        <w:rPr>
          <w:rFonts w:ascii="宋体" w:cs="Times New Roman"/>
          <w:b/>
          <w:bCs/>
        </w:rPr>
      </w:pPr>
      <w:r>
        <w:rPr>
          <w:rFonts w:ascii="宋体" w:hAnsi="宋体" w:cs="宋体" w:hint="eastAsia"/>
          <w:b/>
          <w:bCs/>
        </w:rPr>
        <w:t>头颈部肿瘤用药</w:t>
      </w:r>
    </w:p>
    <w:tbl>
      <w:tblPr>
        <w:tblW w:w="8522" w:type="dxa"/>
        <w:tblInd w:w="-106" w:type="dxa"/>
        <w:tblLayout w:type="fixed"/>
        <w:tblLook w:val="04A0" w:firstRow="1" w:lastRow="0" w:firstColumn="1" w:lastColumn="0" w:noHBand="0" w:noVBand="1"/>
      </w:tblPr>
      <w:tblGrid>
        <w:gridCol w:w="7976"/>
        <w:gridCol w:w="546"/>
      </w:tblGrid>
      <w:tr w:rsidR="00B23A40">
        <w:trPr>
          <w:trHeight w:val="285"/>
        </w:trPr>
        <w:tc>
          <w:tcPr>
            <w:tcW w:w="7976" w:type="dxa"/>
          </w:tcPr>
          <w:p w:rsidR="00B23A40" w:rsidRDefault="00DD1A0D">
            <w:pPr>
              <w:rPr>
                <w:rFonts w:ascii="宋体" w:cs="宋体"/>
              </w:rPr>
            </w:pPr>
            <w:r>
              <w:rPr>
                <w:rFonts w:ascii="宋体" w:hAnsi="宋体" w:cs="宋体" w:hint="eastAsia"/>
              </w:rPr>
              <w:t>一、尼妥珠单抗</w:t>
            </w:r>
            <w:r>
              <w:rPr>
                <w:rFonts w:ascii="宋体" w:cs="宋体" w:hint="eastAsia"/>
              </w:rPr>
              <w:t>………………………………………………………………………………</w:t>
            </w:r>
          </w:p>
          <w:p w:rsidR="00B23A40" w:rsidRDefault="00DD1A0D">
            <w:pPr>
              <w:rPr>
                <w:rFonts w:ascii="宋体" w:cs="宋体"/>
              </w:rPr>
            </w:pPr>
            <w:r>
              <w:rPr>
                <w:rFonts w:ascii="宋体" w:hAnsi="宋体" w:cs="宋体" w:hint="eastAsia"/>
              </w:rPr>
              <w:t>二、索拉非尼</w:t>
            </w:r>
            <w:r>
              <w:rPr>
                <w:rFonts w:ascii="宋体" w:cs="宋体" w:hint="eastAsia"/>
              </w:rPr>
              <w:t>…………………………………………………………………………………</w:t>
            </w:r>
          </w:p>
          <w:p w:rsidR="00B23A40" w:rsidRDefault="00DD1A0D">
            <w:pPr>
              <w:spacing w:line="360" w:lineRule="auto"/>
              <w:ind w:firstLineChars="50" w:firstLine="105"/>
              <w:rPr>
                <w:rFonts w:ascii="宋体" w:cs="Times New Roman"/>
                <w:b/>
                <w:bCs/>
              </w:rPr>
            </w:pPr>
            <w:r>
              <w:rPr>
                <w:rFonts w:ascii="宋体" w:hAnsi="宋体" w:cs="宋体" w:hint="eastAsia"/>
                <w:b/>
                <w:bCs/>
              </w:rPr>
              <w:t>生殖系统肿瘤用药</w:t>
            </w:r>
          </w:p>
          <w:p w:rsidR="00B23A40" w:rsidRDefault="00DD1A0D">
            <w:pPr>
              <w:rPr>
                <w:rFonts w:ascii="宋体" w:cs="Times New Roman"/>
              </w:rPr>
            </w:pPr>
            <w:r>
              <w:rPr>
                <w:rFonts w:ascii="宋体" w:cs="宋体" w:hint="eastAsia"/>
              </w:rPr>
              <w:t>一、奥拉帕利…………………………………………………………………………………</w:t>
            </w:r>
          </w:p>
        </w:tc>
        <w:tc>
          <w:tcPr>
            <w:tcW w:w="546" w:type="dxa"/>
          </w:tcPr>
          <w:p w:rsidR="00B23A40" w:rsidRDefault="00DD1A0D">
            <w:pPr>
              <w:rPr>
                <w:rFonts w:ascii="宋体" w:hAnsi="宋体" w:cs="宋体"/>
              </w:rPr>
            </w:pPr>
            <w:r>
              <w:rPr>
                <w:rFonts w:ascii="宋体" w:hAnsi="宋体" w:cs="宋体" w:hint="eastAsia"/>
              </w:rPr>
              <w:t>9</w:t>
            </w:r>
            <w:r w:rsidR="000B6EE2">
              <w:rPr>
                <w:rFonts w:ascii="宋体" w:hAnsi="宋体" w:cs="宋体" w:hint="eastAsia"/>
              </w:rPr>
              <w:t>4</w:t>
            </w:r>
          </w:p>
          <w:p w:rsidR="00B23A40" w:rsidRDefault="00DD1A0D">
            <w:pPr>
              <w:rPr>
                <w:rFonts w:ascii="宋体" w:hAnsi="宋体" w:cs="宋体"/>
              </w:rPr>
            </w:pPr>
            <w:r>
              <w:rPr>
                <w:rFonts w:ascii="宋体" w:hAnsi="宋体" w:cs="宋体" w:hint="eastAsia"/>
              </w:rPr>
              <w:t>9</w:t>
            </w:r>
            <w:r w:rsidR="000B6EE2">
              <w:rPr>
                <w:rFonts w:ascii="宋体" w:hAnsi="宋体" w:cs="宋体" w:hint="eastAsia"/>
              </w:rPr>
              <w:t>5</w:t>
            </w:r>
          </w:p>
          <w:p w:rsidR="00B23A40" w:rsidRDefault="00B23A40">
            <w:pPr>
              <w:rPr>
                <w:rFonts w:ascii="宋体" w:cs="Times New Roman"/>
              </w:rPr>
            </w:pPr>
          </w:p>
          <w:p w:rsidR="00B23A40" w:rsidRDefault="00DD1A0D" w:rsidP="000B6EE2">
            <w:pPr>
              <w:rPr>
                <w:rFonts w:ascii="宋体" w:cs="Times New Roman"/>
              </w:rPr>
            </w:pPr>
            <w:r>
              <w:rPr>
                <w:rFonts w:ascii="宋体" w:cs="Times New Roman" w:hint="eastAsia"/>
              </w:rPr>
              <w:t>9</w:t>
            </w:r>
            <w:r w:rsidR="000B6EE2">
              <w:rPr>
                <w:rFonts w:ascii="宋体" w:cs="Times New Roman" w:hint="eastAsia"/>
              </w:rPr>
              <w:t>6</w:t>
            </w:r>
          </w:p>
        </w:tc>
      </w:tr>
    </w:tbl>
    <w:p w:rsidR="00B23A40" w:rsidRDefault="00B23A40">
      <w:pPr>
        <w:rPr>
          <w:rFonts w:ascii="宋体" w:hAnsi="宋体" w:cs="宋体"/>
        </w:rPr>
        <w:sectPr w:rsidR="00B23A40" w:rsidSect="004B59C4">
          <w:footerReference w:type="default" r:id="rId9"/>
          <w:pgSz w:w="11906" w:h="16838"/>
          <w:pgMar w:top="1135" w:right="1800" w:bottom="1440" w:left="1800" w:header="851" w:footer="992" w:gutter="0"/>
          <w:pgNumType w:start="1"/>
          <w:cols w:space="425"/>
          <w:docGrid w:type="lines" w:linePitch="312"/>
        </w:sectPr>
      </w:pPr>
    </w:p>
    <w:p w:rsidR="00B23A40" w:rsidRDefault="00DD1A0D">
      <w:pPr>
        <w:spacing w:line="360" w:lineRule="auto"/>
        <w:jc w:val="center"/>
        <w:rPr>
          <w:rFonts w:ascii="宋体" w:cs="Times New Roman"/>
          <w:b/>
          <w:bCs/>
          <w:sz w:val="44"/>
          <w:szCs w:val="44"/>
        </w:rPr>
      </w:pPr>
      <w:r>
        <w:rPr>
          <w:rFonts w:ascii="宋体" w:hAnsi="宋体" w:cs="宋体" w:hint="eastAsia"/>
          <w:b/>
          <w:bCs/>
          <w:sz w:val="44"/>
          <w:szCs w:val="44"/>
        </w:rPr>
        <w:lastRenderedPageBreak/>
        <w:t>第一部分</w:t>
      </w:r>
      <w:r w:rsidR="00027232">
        <w:rPr>
          <w:rFonts w:ascii="宋体" w:hAnsi="宋体" w:cs="宋体" w:hint="eastAsia"/>
          <w:b/>
          <w:bCs/>
          <w:sz w:val="44"/>
          <w:szCs w:val="44"/>
        </w:rPr>
        <w:t xml:space="preserve"> </w:t>
      </w:r>
      <w:r>
        <w:rPr>
          <w:rFonts w:ascii="宋体" w:hAnsi="宋体" w:cs="宋体" w:hint="eastAsia"/>
          <w:b/>
          <w:bCs/>
          <w:sz w:val="44"/>
          <w:szCs w:val="44"/>
        </w:rPr>
        <w:t>新型抗肿瘤药物临床应用</w:t>
      </w:r>
    </w:p>
    <w:p w:rsidR="00B23A40" w:rsidRDefault="00D320DF" w:rsidP="00D320DF">
      <w:pPr>
        <w:tabs>
          <w:tab w:val="center" w:pos="4153"/>
          <w:tab w:val="right" w:pos="8306"/>
        </w:tabs>
        <w:spacing w:line="360" w:lineRule="auto"/>
        <w:jc w:val="left"/>
        <w:rPr>
          <w:rFonts w:ascii="宋体" w:cs="Times New Roman"/>
          <w:b/>
          <w:bCs/>
          <w:sz w:val="44"/>
          <w:szCs w:val="44"/>
        </w:rPr>
      </w:pPr>
      <w:r>
        <w:rPr>
          <w:rFonts w:ascii="宋体" w:hAnsi="宋体" w:cs="宋体"/>
          <w:b/>
          <w:bCs/>
          <w:sz w:val="44"/>
          <w:szCs w:val="44"/>
        </w:rPr>
        <w:tab/>
      </w:r>
      <w:r w:rsidR="00DD1A0D">
        <w:rPr>
          <w:rFonts w:ascii="宋体" w:hAnsi="宋体" w:cs="宋体" w:hint="eastAsia"/>
          <w:b/>
          <w:bCs/>
          <w:sz w:val="44"/>
          <w:szCs w:val="44"/>
        </w:rPr>
        <w:t>指导原则</w:t>
      </w:r>
      <w:r>
        <w:rPr>
          <w:rFonts w:ascii="宋体" w:hAnsi="宋体" w:cs="宋体"/>
          <w:b/>
          <w:bCs/>
          <w:sz w:val="44"/>
          <w:szCs w:val="44"/>
        </w:rPr>
        <w:tab/>
      </w:r>
    </w:p>
    <w:p w:rsidR="00B23A40" w:rsidRDefault="00B23A40">
      <w:pPr>
        <w:spacing w:line="360" w:lineRule="auto"/>
        <w:ind w:firstLineChars="200" w:firstLine="420"/>
        <w:rPr>
          <w:rFonts w:ascii="宋体" w:cs="Times New Roman"/>
        </w:rPr>
      </w:pP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为规范新型抗肿瘤药物临床应用，提高肿瘤合理用药水平，保障医疗质量和医疗安全，维护肿瘤患者健康权益，特制定新型抗肿瘤药物临床应用指导原则。本指导原则涉及的新型抗肿瘤药物是指小分子靶向药物和大分子单克隆抗体类药物。</w:t>
      </w:r>
    </w:p>
    <w:p w:rsidR="00B23A40" w:rsidRDefault="00B23A40">
      <w:pPr>
        <w:spacing w:line="360" w:lineRule="auto"/>
        <w:ind w:firstLineChars="200" w:firstLine="562"/>
        <w:jc w:val="center"/>
        <w:rPr>
          <w:rFonts w:ascii="宋体" w:cs="Times New Roman"/>
          <w:b/>
          <w:bCs/>
          <w:sz w:val="28"/>
          <w:szCs w:val="28"/>
        </w:rPr>
      </w:pPr>
    </w:p>
    <w:p w:rsidR="00B23A40" w:rsidRDefault="00DD1A0D">
      <w:pPr>
        <w:spacing w:line="360" w:lineRule="auto"/>
        <w:jc w:val="center"/>
        <w:rPr>
          <w:rFonts w:ascii="宋体" w:cs="Times New Roman"/>
          <w:b/>
          <w:bCs/>
          <w:sz w:val="44"/>
          <w:szCs w:val="44"/>
        </w:rPr>
      </w:pPr>
      <w:r>
        <w:rPr>
          <w:rFonts w:ascii="宋体" w:hAnsi="宋体" w:cs="宋体" w:hint="eastAsia"/>
          <w:b/>
          <w:bCs/>
          <w:sz w:val="44"/>
          <w:szCs w:val="44"/>
        </w:rPr>
        <w:t>抗肿瘤药物临床应用的基本原则</w:t>
      </w:r>
    </w:p>
    <w:p w:rsidR="00B23A40" w:rsidRDefault="00B23A40">
      <w:pPr>
        <w:spacing w:line="360" w:lineRule="auto"/>
        <w:ind w:firstLineChars="200" w:firstLine="640"/>
        <w:rPr>
          <w:rFonts w:ascii="仿宋" w:eastAsia="仿宋" w:hAnsi="仿宋" w:cs="Times New Roman"/>
          <w:sz w:val="32"/>
          <w:szCs w:val="32"/>
        </w:rPr>
      </w:pP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抗肿瘤药物的应用涉及临床多个学科，合理应用抗肿瘤药物是提高疗效、降低不良反应发生率以及合理利用卫生资源的关键。抗肿瘤药物临床应用需考虑药物可及性和患者治疗价值两大要素。抗肿瘤药物临床应用是否合理，基于以下两方面：有无抗肿瘤药物应用指征；选用的品种及给药方案是否适宜。</w:t>
      </w:r>
    </w:p>
    <w:p w:rsidR="00B23A40" w:rsidRDefault="00DD1A0D">
      <w:p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一、病理组织学确诊后方可使用</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只有经组织或细胞学病理确诊、或特殊分子病理诊断成立的恶性肿瘤，才有指征使用抗肿瘤药物。单纯依据患者的临床症状、体征和影像学结果得出临床诊断的肿瘤患者，没有抗肿瘤药物治疗的指征。但是，对于某些难以获取病理诊</w:t>
      </w:r>
      <w:r>
        <w:rPr>
          <w:rFonts w:ascii="仿宋" w:eastAsia="仿宋" w:hAnsi="仿宋" w:cs="仿宋" w:hint="eastAsia"/>
          <w:sz w:val="32"/>
          <w:szCs w:val="32"/>
        </w:rPr>
        <w:lastRenderedPageBreak/>
        <w:t>断的肿瘤，如胰腺癌，其确诊可参照国家相关指南或规范执行。</w:t>
      </w:r>
    </w:p>
    <w:p w:rsidR="00B23A40" w:rsidRDefault="00DD1A0D">
      <w:p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二、靶点检测后方可使用</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现代抗肿瘤药物的一个显著特征，是出现一批针对分子异常特征的药物</w:t>
      </w:r>
      <w:r>
        <w:rPr>
          <w:rFonts w:ascii="仿宋" w:eastAsia="仿宋" w:hAnsi="仿宋" w:cs="仿宋"/>
          <w:sz w:val="32"/>
          <w:szCs w:val="32"/>
        </w:rPr>
        <w:t>——</w:t>
      </w:r>
      <w:r>
        <w:rPr>
          <w:rFonts w:ascii="仿宋" w:eastAsia="仿宋" w:hAnsi="仿宋" w:cs="仿宋" w:hint="eastAsia"/>
          <w:sz w:val="32"/>
          <w:szCs w:val="32"/>
        </w:rPr>
        <w:t>即靶向药物。最具代表性的药物是针对表皮生长因子信号通路异常的酪氨酸激酶抑制剂。目前，根据是否需要做靶点检测，可以将常用的小分子靶向药物和大分子单克隆抗体类药物分为两大类（表</w:t>
      </w:r>
      <w:r>
        <w:rPr>
          <w:rFonts w:ascii="仿宋" w:eastAsia="仿宋" w:hAnsi="仿宋" w:cs="仿宋"/>
          <w:sz w:val="32"/>
          <w:szCs w:val="32"/>
        </w:rPr>
        <w:t>1</w:t>
      </w:r>
      <w:r>
        <w:rPr>
          <w:rFonts w:ascii="仿宋" w:eastAsia="仿宋" w:hAnsi="仿宋" w:cs="仿宋" w:hint="eastAsia"/>
          <w:sz w:val="32"/>
          <w:szCs w:val="32"/>
        </w:rPr>
        <w:t>）。具体的检测靶点详见各章节。</w:t>
      </w:r>
    </w:p>
    <w:p w:rsidR="00B23A40" w:rsidRDefault="00DD1A0D">
      <w:pPr>
        <w:spacing w:line="360" w:lineRule="auto"/>
        <w:ind w:firstLineChars="200" w:firstLine="422"/>
        <w:jc w:val="center"/>
        <w:rPr>
          <w:rFonts w:ascii="仿宋" w:eastAsia="仿宋" w:hAnsi="仿宋"/>
          <w:b/>
          <w:color w:val="000000"/>
        </w:rPr>
      </w:pPr>
      <w:r>
        <w:rPr>
          <w:rFonts w:ascii="仿宋" w:eastAsia="仿宋" w:hAnsi="仿宋" w:hint="eastAsia"/>
          <w:b/>
          <w:color w:val="000000"/>
        </w:rPr>
        <w:t>表1  常用的小分子靶向药物和大分子单克隆抗体类药物</w:t>
      </w:r>
    </w:p>
    <w:tbl>
      <w:tblPr>
        <w:tblW w:w="76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454"/>
        <w:gridCol w:w="2507"/>
      </w:tblGrid>
      <w:tr w:rsidR="00B23A40">
        <w:tc>
          <w:tcPr>
            <w:tcW w:w="2693" w:type="dxa"/>
          </w:tcPr>
          <w:p w:rsidR="00B23A40" w:rsidRDefault="00DD1A0D">
            <w:pPr>
              <w:spacing w:line="360" w:lineRule="auto"/>
              <w:jc w:val="left"/>
              <w:rPr>
                <w:rFonts w:ascii="仿宋" w:eastAsia="仿宋" w:hAnsi="仿宋"/>
                <w:b/>
                <w:color w:val="000000"/>
              </w:rPr>
            </w:pPr>
            <w:r>
              <w:rPr>
                <w:rFonts w:ascii="仿宋" w:eastAsia="仿宋" w:hAnsi="仿宋" w:hint="eastAsia"/>
                <w:b/>
                <w:color w:val="000000"/>
              </w:rPr>
              <w:t>病种</w:t>
            </w:r>
          </w:p>
        </w:tc>
        <w:tc>
          <w:tcPr>
            <w:tcW w:w="2454" w:type="dxa"/>
          </w:tcPr>
          <w:p w:rsidR="00B23A40" w:rsidRDefault="00DD1A0D">
            <w:pPr>
              <w:spacing w:line="360" w:lineRule="auto"/>
              <w:rPr>
                <w:rFonts w:ascii="仿宋" w:eastAsia="仿宋" w:hAnsi="仿宋"/>
                <w:b/>
                <w:color w:val="000000"/>
              </w:rPr>
            </w:pPr>
            <w:r>
              <w:rPr>
                <w:rFonts w:ascii="仿宋" w:eastAsia="仿宋" w:hAnsi="仿宋" w:hint="eastAsia"/>
                <w:b/>
                <w:color w:val="000000"/>
              </w:rPr>
              <w:t>需要检测靶点的药物</w:t>
            </w:r>
          </w:p>
        </w:tc>
        <w:tc>
          <w:tcPr>
            <w:tcW w:w="2507" w:type="dxa"/>
          </w:tcPr>
          <w:p w:rsidR="00B23A40" w:rsidRDefault="00DD1A0D">
            <w:pPr>
              <w:spacing w:line="360" w:lineRule="auto"/>
              <w:rPr>
                <w:rFonts w:ascii="仿宋" w:eastAsia="仿宋" w:hAnsi="仿宋"/>
                <w:b/>
                <w:color w:val="000000"/>
              </w:rPr>
            </w:pPr>
            <w:r>
              <w:rPr>
                <w:rFonts w:ascii="仿宋" w:eastAsia="仿宋" w:hAnsi="仿宋" w:hint="eastAsia"/>
                <w:b/>
                <w:color w:val="000000"/>
              </w:rPr>
              <w:t>不需要检测靶点的药物</w:t>
            </w:r>
          </w:p>
        </w:tc>
      </w:tr>
      <w:tr w:rsidR="00B23A40">
        <w:trPr>
          <w:trHeight w:val="1922"/>
        </w:trPr>
        <w:tc>
          <w:tcPr>
            <w:tcW w:w="2693" w:type="dxa"/>
          </w:tcPr>
          <w:p w:rsidR="00B23A40" w:rsidRDefault="00DD1A0D">
            <w:pPr>
              <w:spacing w:line="360" w:lineRule="auto"/>
              <w:jc w:val="left"/>
              <w:rPr>
                <w:rFonts w:ascii="仿宋" w:eastAsia="仿宋" w:hAnsi="仿宋"/>
                <w:color w:val="000000"/>
              </w:rPr>
            </w:pPr>
            <w:r>
              <w:rPr>
                <w:rFonts w:ascii="仿宋" w:eastAsia="仿宋" w:hAnsi="仿宋" w:hint="eastAsia"/>
                <w:color w:val="000000"/>
              </w:rPr>
              <w:t>肺癌</w:t>
            </w:r>
          </w:p>
        </w:tc>
        <w:tc>
          <w:tcPr>
            <w:tcW w:w="2454" w:type="dxa"/>
          </w:tcPr>
          <w:p w:rsidR="00B23A40" w:rsidRDefault="00DD1A0D">
            <w:pPr>
              <w:spacing w:line="360" w:lineRule="auto"/>
              <w:rPr>
                <w:rFonts w:ascii="仿宋" w:eastAsia="仿宋" w:hAnsi="仿宋"/>
                <w:color w:val="000000"/>
              </w:rPr>
            </w:pPr>
            <w:r>
              <w:rPr>
                <w:rFonts w:ascii="仿宋" w:eastAsia="仿宋" w:hAnsi="仿宋" w:hint="eastAsia"/>
                <w:color w:val="000000"/>
              </w:rPr>
              <w:t>吉非替尼</w:t>
            </w:r>
          </w:p>
          <w:p w:rsidR="00B23A40" w:rsidRDefault="00DD1A0D">
            <w:pPr>
              <w:spacing w:line="360" w:lineRule="auto"/>
              <w:rPr>
                <w:rFonts w:ascii="仿宋" w:eastAsia="仿宋" w:hAnsi="仿宋"/>
                <w:color w:val="000000"/>
              </w:rPr>
            </w:pPr>
            <w:r>
              <w:rPr>
                <w:rFonts w:ascii="仿宋" w:eastAsia="仿宋" w:hAnsi="仿宋"/>
                <w:color w:val="000000"/>
              </w:rPr>
              <w:t>厄洛替尼</w:t>
            </w:r>
          </w:p>
          <w:p w:rsidR="00B23A40" w:rsidRDefault="00DD1A0D">
            <w:pPr>
              <w:spacing w:line="360" w:lineRule="auto"/>
              <w:rPr>
                <w:rFonts w:ascii="仿宋" w:eastAsia="仿宋" w:hAnsi="仿宋"/>
                <w:color w:val="000000"/>
              </w:rPr>
            </w:pPr>
            <w:r>
              <w:rPr>
                <w:rFonts w:ascii="仿宋" w:eastAsia="仿宋" w:hAnsi="仿宋"/>
                <w:color w:val="000000"/>
              </w:rPr>
              <w:t>埃克替尼</w:t>
            </w:r>
          </w:p>
          <w:p w:rsidR="00B23A40" w:rsidRDefault="00DD1A0D">
            <w:pPr>
              <w:spacing w:line="360" w:lineRule="auto"/>
              <w:rPr>
                <w:rFonts w:ascii="仿宋" w:eastAsia="仿宋" w:hAnsi="仿宋"/>
                <w:color w:val="000000"/>
              </w:rPr>
            </w:pPr>
            <w:r>
              <w:rPr>
                <w:rFonts w:ascii="仿宋" w:eastAsia="仿宋" w:hAnsi="仿宋" w:hint="eastAsia"/>
                <w:color w:val="000000"/>
              </w:rPr>
              <w:t>阿法替尼</w:t>
            </w:r>
          </w:p>
          <w:p w:rsidR="00B23A40" w:rsidRDefault="00DD1A0D">
            <w:pPr>
              <w:spacing w:line="360" w:lineRule="auto"/>
              <w:rPr>
                <w:rFonts w:ascii="仿宋" w:eastAsia="仿宋" w:hAnsi="仿宋"/>
                <w:color w:val="000000"/>
              </w:rPr>
            </w:pPr>
            <w:r>
              <w:rPr>
                <w:rFonts w:ascii="仿宋" w:eastAsia="仿宋" w:hAnsi="仿宋" w:hint="eastAsia"/>
                <w:color w:val="000000"/>
              </w:rPr>
              <w:t>达可替尼</w:t>
            </w:r>
          </w:p>
          <w:p w:rsidR="00B23A40" w:rsidRDefault="00DD1A0D">
            <w:pPr>
              <w:spacing w:line="360" w:lineRule="auto"/>
              <w:rPr>
                <w:rFonts w:ascii="仿宋" w:eastAsia="仿宋" w:hAnsi="仿宋"/>
                <w:color w:val="000000"/>
              </w:rPr>
            </w:pPr>
            <w:r>
              <w:rPr>
                <w:rFonts w:ascii="仿宋" w:eastAsia="仿宋" w:hAnsi="仿宋"/>
                <w:color w:val="000000"/>
              </w:rPr>
              <w:t>奥希替尼</w:t>
            </w:r>
          </w:p>
          <w:p w:rsidR="00B23A40" w:rsidRDefault="00DD1A0D">
            <w:pPr>
              <w:spacing w:line="360" w:lineRule="auto"/>
              <w:rPr>
                <w:rFonts w:ascii="仿宋" w:eastAsia="仿宋" w:hAnsi="仿宋"/>
                <w:color w:val="000000"/>
              </w:rPr>
            </w:pPr>
            <w:r>
              <w:rPr>
                <w:rFonts w:ascii="仿宋" w:eastAsia="仿宋" w:hAnsi="仿宋"/>
                <w:color w:val="000000"/>
              </w:rPr>
              <w:t>克唑替尼</w:t>
            </w:r>
          </w:p>
          <w:p w:rsidR="00B23A40" w:rsidRDefault="00DD1A0D">
            <w:pPr>
              <w:spacing w:line="360" w:lineRule="auto"/>
              <w:rPr>
                <w:rFonts w:ascii="仿宋" w:eastAsia="仿宋" w:hAnsi="仿宋"/>
                <w:color w:val="000000"/>
              </w:rPr>
            </w:pPr>
            <w:r>
              <w:rPr>
                <w:rFonts w:ascii="仿宋" w:eastAsia="仿宋" w:hAnsi="仿宋" w:hint="eastAsia"/>
                <w:color w:val="000000"/>
              </w:rPr>
              <w:t>阿来替尼</w:t>
            </w:r>
          </w:p>
          <w:p w:rsidR="00B23A40" w:rsidRDefault="00DD1A0D">
            <w:pPr>
              <w:spacing w:line="360" w:lineRule="auto"/>
              <w:rPr>
                <w:rFonts w:ascii="仿宋" w:eastAsia="仿宋" w:hAnsi="仿宋"/>
                <w:color w:val="000000"/>
              </w:rPr>
            </w:pPr>
            <w:r>
              <w:rPr>
                <w:rFonts w:ascii="仿宋" w:eastAsia="仿宋" w:hAnsi="仿宋" w:hint="eastAsia"/>
                <w:color w:val="000000"/>
              </w:rPr>
              <w:t>塞瑞替尼</w:t>
            </w:r>
          </w:p>
        </w:tc>
        <w:tc>
          <w:tcPr>
            <w:tcW w:w="2507" w:type="dxa"/>
          </w:tcPr>
          <w:p w:rsidR="00B23A40" w:rsidRDefault="00DD1A0D">
            <w:pPr>
              <w:spacing w:line="360" w:lineRule="auto"/>
              <w:rPr>
                <w:rFonts w:ascii="仿宋" w:eastAsia="仿宋" w:hAnsi="仿宋"/>
                <w:color w:val="000000"/>
              </w:rPr>
            </w:pPr>
            <w:r>
              <w:rPr>
                <w:rFonts w:ascii="仿宋" w:eastAsia="仿宋" w:hAnsi="仿宋" w:hint="eastAsia"/>
                <w:color w:val="000000"/>
              </w:rPr>
              <w:t>贝伐珠单抗</w:t>
            </w:r>
          </w:p>
          <w:p w:rsidR="00B23A40" w:rsidRDefault="00DD1A0D">
            <w:pPr>
              <w:spacing w:line="360" w:lineRule="auto"/>
              <w:rPr>
                <w:rFonts w:ascii="仿宋" w:eastAsia="仿宋" w:hAnsi="仿宋"/>
                <w:color w:val="000000"/>
              </w:rPr>
            </w:pPr>
            <w:r>
              <w:rPr>
                <w:rFonts w:ascii="仿宋" w:eastAsia="仿宋" w:hAnsi="仿宋"/>
                <w:color w:val="000000"/>
              </w:rPr>
              <w:t>重组人血管内皮抑制素</w:t>
            </w:r>
          </w:p>
          <w:p w:rsidR="00B23A40" w:rsidRDefault="00DD1A0D">
            <w:pPr>
              <w:spacing w:line="360" w:lineRule="auto"/>
              <w:rPr>
                <w:rFonts w:ascii="仿宋" w:eastAsia="仿宋" w:hAnsi="仿宋"/>
                <w:color w:val="000000"/>
              </w:rPr>
            </w:pPr>
            <w:r>
              <w:rPr>
                <w:rFonts w:ascii="仿宋" w:eastAsia="仿宋" w:hAnsi="仿宋" w:hint="eastAsia"/>
                <w:color w:val="000000"/>
              </w:rPr>
              <w:t>安罗替尼</w:t>
            </w:r>
          </w:p>
          <w:p w:rsidR="00B23A40" w:rsidRDefault="00DD1A0D">
            <w:pPr>
              <w:spacing w:line="360" w:lineRule="auto"/>
              <w:rPr>
                <w:rFonts w:ascii="仿宋" w:eastAsia="仿宋" w:hAnsi="仿宋"/>
                <w:color w:val="000000"/>
              </w:rPr>
            </w:pPr>
            <w:r>
              <w:rPr>
                <w:rFonts w:ascii="仿宋" w:eastAsia="仿宋" w:hAnsi="仿宋" w:hint="eastAsia"/>
                <w:color w:val="000000"/>
              </w:rPr>
              <w:t>纳武利尤单抗</w:t>
            </w:r>
          </w:p>
          <w:p w:rsidR="00B23A40" w:rsidRDefault="00DD1A0D">
            <w:pPr>
              <w:spacing w:line="360" w:lineRule="auto"/>
              <w:rPr>
                <w:rFonts w:ascii="仿宋" w:eastAsia="仿宋" w:hAnsi="仿宋"/>
                <w:color w:val="000000"/>
              </w:rPr>
            </w:pPr>
            <w:r>
              <w:rPr>
                <w:rFonts w:ascii="仿宋" w:eastAsia="仿宋" w:hAnsi="仿宋" w:hint="eastAsia"/>
                <w:color w:val="000000"/>
              </w:rPr>
              <w:t>帕博利珠单抗</w:t>
            </w:r>
          </w:p>
          <w:p w:rsidR="00B23A40" w:rsidRDefault="00DD1A0D">
            <w:pPr>
              <w:spacing w:line="360" w:lineRule="auto"/>
              <w:rPr>
                <w:rFonts w:ascii="仿宋" w:eastAsia="仿宋" w:hAnsi="仿宋"/>
                <w:color w:val="000000"/>
              </w:rPr>
            </w:pPr>
            <w:r>
              <w:rPr>
                <w:rFonts w:ascii="仿宋" w:eastAsia="仿宋" w:hAnsi="仿宋" w:hint="eastAsia"/>
                <w:color w:val="000000"/>
              </w:rPr>
              <w:t>依维莫司</w:t>
            </w:r>
          </w:p>
          <w:p w:rsidR="00B23A40" w:rsidRDefault="00B23A40">
            <w:pPr>
              <w:spacing w:line="360" w:lineRule="auto"/>
              <w:rPr>
                <w:rFonts w:ascii="仿宋" w:eastAsia="仿宋" w:hAnsi="仿宋"/>
                <w:color w:val="000000"/>
              </w:rPr>
            </w:pPr>
          </w:p>
        </w:tc>
      </w:tr>
      <w:tr w:rsidR="00B23A40">
        <w:trPr>
          <w:trHeight w:val="634"/>
        </w:trPr>
        <w:tc>
          <w:tcPr>
            <w:tcW w:w="2693" w:type="dxa"/>
          </w:tcPr>
          <w:p w:rsidR="00B23A40" w:rsidRDefault="00DD1A0D">
            <w:pPr>
              <w:spacing w:line="360" w:lineRule="auto"/>
              <w:jc w:val="left"/>
              <w:rPr>
                <w:rFonts w:ascii="仿宋" w:eastAsia="仿宋" w:hAnsi="仿宋"/>
                <w:color w:val="000000"/>
              </w:rPr>
            </w:pPr>
            <w:r>
              <w:rPr>
                <w:rFonts w:ascii="仿宋" w:eastAsia="仿宋" w:hAnsi="仿宋" w:hint="eastAsia"/>
                <w:color w:val="000000"/>
              </w:rPr>
              <w:t>肝癌</w:t>
            </w:r>
          </w:p>
        </w:tc>
        <w:tc>
          <w:tcPr>
            <w:tcW w:w="2454" w:type="dxa"/>
          </w:tcPr>
          <w:p w:rsidR="00B23A40" w:rsidRDefault="00B23A40">
            <w:pPr>
              <w:spacing w:line="360" w:lineRule="auto"/>
              <w:rPr>
                <w:rFonts w:ascii="仿宋" w:eastAsia="仿宋" w:hAnsi="仿宋"/>
                <w:color w:val="000000"/>
              </w:rPr>
            </w:pPr>
          </w:p>
        </w:tc>
        <w:tc>
          <w:tcPr>
            <w:tcW w:w="2507" w:type="dxa"/>
          </w:tcPr>
          <w:p w:rsidR="00B23A40" w:rsidRDefault="00DD1A0D">
            <w:pPr>
              <w:spacing w:line="360" w:lineRule="auto"/>
              <w:rPr>
                <w:rFonts w:ascii="仿宋" w:eastAsia="仿宋" w:hAnsi="仿宋"/>
                <w:color w:val="000000"/>
              </w:rPr>
            </w:pPr>
            <w:r>
              <w:rPr>
                <w:rFonts w:ascii="仿宋" w:eastAsia="仿宋" w:hAnsi="仿宋"/>
                <w:color w:val="000000"/>
              </w:rPr>
              <w:t>索拉非尼</w:t>
            </w:r>
          </w:p>
          <w:p w:rsidR="00B23A40" w:rsidRDefault="00DD1A0D">
            <w:pPr>
              <w:spacing w:line="360" w:lineRule="auto"/>
              <w:rPr>
                <w:rFonts w:ascii="仿宋" w:eastAsia="仿宋" w:hAnsi="仿宋"/>
                <w:color w:val="000000"/>
              </w:rPr>
            </w:pPr>
            <w:r>
              <w:rPr>
                <w:rFonts w:ascii="仿宋" w:eastAsia="仿宋" w:hAnsi="仿宋"/>
                <w:color w:val="000000"/>
              </w:rPr>
              <w:t>瑞戈非尼</w:t>
            </w:r>
          </w:p>
          <w:p w:rsidR="00B23A40" w:rsidRDefault="00DD1A0D">
            <w:pPr>
              <w:spacing w:line="360" w:lineRule="auto"/>
              <w:rPr>
                <w:rFonts w:ascii="仿宋" w:eastAsia="仿宋" w:hAnsi="仿宋"/>
                <w:color w:val="000000"/>
              </w:rPr>
            </w:pPr>
            <w:r>
              <w:rPr>
                <w:rFonts w:ascii="仿宋" w:eastAsia="仿宋" w:hAnsi="仿宋" w:hint="eastAsia"/>
                <w:color w:val="000000"/>
              </w:rPr>
              <w:t>仑伐替尼</w:t>
            </w:r>
          </w:p>
        </w:tc>
      </w:tr>
      <w:tr w:rsidR="00B23A40">
        <w:tc>
          <w:tcPr>
            <w:tcW w:w="2693" w:type="dxa"/>
          </w:tcPr>
          <w:p w:rsidR="00B23A40" w:rsidRDefault="00DD1A0D">
            <w:pPr>
              <w:spacing w:line="360" w:lineRule="auto"/>
              <w:jc w:val="left"/>
              <w:rPr>
                <w:rFonts w:ascii="仿宋" w:eastAsia="仿宋" w:hAnsi="仿宋"/>
                <w:color w:val="000000"/>
              </w:rPr>
            </w:pPr>
            <w:r>
              <w:rPr>
                <w:rFonts w:ascii="仿宋" w:eastAsia="仿宋" w:hAnsi="仿宋" w:hint="eastAsia"/>
                <w:color w:val="000000"/>
              </w:rPr>
              <w:t>胃癌</w:t>
            </w:r>
          </w:p>
        </w:tc>
        <w:tc>
          <w:tcPr>
            <w:tcW w:w="2454" w:type="dxa"/>
          </w:tcPr>
          <w:p w:rsidR="00B23A40" w:rsidRDefault="00DD1A0D">
            <w:pPr>
              <w:spacing w:line="360" w:lineRule="auto"/>
              <w:rPr>
                <w:rFonts w:ascii="仿宋" w:eastAsia="仿宋" w:hAnsi="仿宋"/>
                <w:color w:val="000000"/>
              </w:rPr>
            </w:pPr>
            <w:r>
              <w:rPr>
                <w:rFonts w:ascii="仿宋" w:eastAsia="仿宋" w:hAnsi="仿宋"/>
                <w:color w:val="000000"/>
              </w:rPr>
              <w:t>曲妥珠单抗</w:t>
            </w:r>
          </w:p>
        </w:tc>
        <w:tc>
          <w:tcPr>
            <w:tcW w:w="2507" w:type="dxa"/>
          </w:tcPr>
          <w:p w:rsidR="00B23A40" w:rsidRDefault="00DD1A0D">
            <w:pPr>
              <w:spacing w:line="360" w:lineRule="auto"/>
              <w:rPr>
                <w:rFonts w:ascii="仿宋" w:eastAsia="仿宋" w:hAnsi="仿宋"/>
                <w:color w:val="000000"/>
              </w:rPr>
            </w:pPr>
            <w:r>
              <w:rPr>
                <w:rFonts w:ascii="仿宋" w:eastAsia="仿宋" w:hAnsi="仿宋"/>
                <w:color w:val="000000"/>
              </w:rPr>
              <w:t>阿帕替尼</w:t>
            </w:r>
          </w:p>
        </w:tc>
      </w:tr>
      <w:tr w:rsidR="00B23A40">
        <w:trPr>
          <w:trHeight w:val="634"/>
        </w:trPr>
        <w:tc>
          <w:tcPr>
            <w:tcW w:w="2693" w:type="dxa"/>
          </w:tcPr>
          <w:p w:rsidR="00B23A40" w:rsidRDefault="00DD1A0D">
            <w:pPr>
              <w:spacing w:line="360" w:lineRule="auto"/>
              <w:jc w:val="left"/>
              <w:rPr>
                <w:rFonts w:ascii="仿宋" w:eastAsia="仿宋" w:hAnsi="仿宋"/>
                <w:color w:val="000000"/>
              </w:rPr>
            </w:pPr>
            <w:r>
              <w:rPr>
                <w:rFonts w:ascii="仿宋" w:eastAsia="仿宋" w:hAnsi="仿宋" w:hint="eastAsia"/>
                <w:color w:val="000000"/>
              </w:rPr>
              <w:t>胃肠间质瘤</w:t>
            </w:r>
          </w:p>
        </w:tc>
        <w:tc>
          <w:tcPr>
            <w:tcW w:w="2454" w:type="dxa"/>
          </w:tcPr>
          <w:p w:rsidR="00B23A40" w:rsidRDefault="00DD1A0D">
            <w:pPr>
              <w:spacing w:line="360" w:lineRule="auto"/>
              <w:rPr>
                <w:rFonts w:ascii="仿宋" w:eastAsia="仿宋" w:hAnsi="仿宋"/>
                <w:color w:val="000000"/>
              </w:rPr>
            </w:pPr>
            <w:r>
              <w:rPr>
                <w:rFonts w:ascii="仿宋" w:eastAsia="仿宋" w:hAnsi="仿宋"/>
                <w:color w:val="000000"/>
              </w:rPr>
              <w:t>伊马替尼</w:t>
            </w:r>
          </w:p>
        </w:tc>
        <w:tc>
          <w:tcPr>
            <w:tcW w:w="2507" w:type="dxa"/>
          </w:tcPr>
          <w:p w:rsidR="00B23A40" w:rsidRDefault="00DD1A0D">
            <w:pPr>
              <w:spacing w:line="360" w:lineRule="auto"/>
              <w:rPr>
                <w:rFonts w:ascii="仿宋" w:eastAsia="仿宋" w:hAnsi="仿宋"/>
                <w:color w:val="000000"/>
              </w:rPr>
            </w:pPr>
            <w:r>
              <w:rPr>
                <w:rFonts w:ascii="仿宋" w:eastAsia="仿宋" w:hAnsi="仿宋"/>
                <w:color w:val="000000"/>
              </w:rPr>
              <w:t>瑞戈非尼</w:t>
            </w:r>
          </w:p>
          <w:p w:rsidR="00B23A40" w:rsidRDefault="00DD1A0D">
            <w:pPr>
              <w:spacing w:line="360" w:lineRule="auto"/>
              <w:rPr>
                <w:rFonts w:ascii="仿宋" w:eastAsia="仿宋" w:hAnsi="仿宋"/>
                <w:color w:val="000000"/>
              </w:rPr>
            </w:pPr>
            <w:r>
              <w:rPr>
                <w:rFonts w:ascii="仿宋" w:eastAsia="仿宋" w:hAnsi="仿宋"/>
                <w:color w:val="000000"/>
              </w:rPr>
              <w:t>舒尼替尼</w:t>
            </w:r>
          </w:p>
        </w:tc>
      </w:tr>
      <w:tr w:rsidR="00B23A40">
        <w:trPr>
          <w:trHeight w:val="634"/>
        </w:trPr>
        <w:tc>
          <w:tcPr>
            <w:tcW w:w="2693" w:type="dxa"/>
          </w:tcPr>
          <w:p w:rsidR="00B23A40" w:rsidRDefault="00DD1A0D">
            <w:pPr>
              <w:spacing w:line="360" w:lineRule="auto"/>
              <w:jc w:val="left"/>
              <w:rPr>
                <w:rFonts w:ascii="仿宋" w:eastAsia="仿宋" w:hAnsi="仿宋"/>
                <w:color w:val="000000"/>
              </w:rPr>
            </w:pPr>
            <w:r>
              <w:rPr>
                <w:rFonts w:ascii="仿宋" w:eastAsia="仿宋" w:hAnsi="仿宋" w:hint="eastAsia"/>
                <w:color w:val="000000"/>
              </w:rPr>
              <w:lastRenderedPageBreak/>
              <w:t>胰腺神经内分泌瘤</w:t>
            </w:r>
          </w:p>
        </w:tc>
        <w:tc>
          <w:tcPr>
            <w:tcW w:w="2454" w:type="dxa"/>
          </w:tcPr>
          <w:p w:rsidR="00B23A40" w:rsidRDefault="00B23A40">
            <w:pPr>
              <w:spacing w:line="360" w:lineRule="auto"/>
              <w:rPr>
                <w:rFonts w:ascii="仿宋" w:eastAsia="仿宋" w:hAnsi="仿宋"/>
                <w:color w:val="000000"/>
              </w:rPr>
            </w:pPr>
          </w:p>
        </w:tc>
        <w:tc>
          <w:tcPr>
            <w:tcW w:w="2507" w:type="dxa"/>
          </w:tcPr>
          <w:p w:rsidR="00B23A40" w:rsidRDefault="00DD1A0D">
            <w:pPr>
              <w:spacing w:line="360" w:lineRule="auto"/>
              <w:rPr>
                <w:rFonts w:ascii="仿宋" w:eastAsia="仿宋" w:hAnsi="仿宋"/>
                <w:color w:val="000000"/>
              </w:rPr>
            </w:pPr>
            <w:r>
              <w:rPr>
                <w:rFonts w:ascii="仿宋" w:eastAsia="仿宋" w:hAnsi="仿宋"/>
                <w:color w:val="000000"/>
              </w:rPr>
              <w:t>舒尼替尼</w:t>
            </w:r>
          </w:p>
          <w:p w:rsidR="00B23A40" w:rsidRDefault="00DD1A0D">
            <w:pPr>
              <w:spacing w:line="360" w:lineRule="auto"/>
              <w:rPr>
                <w:rFonts w:ascii="仿宋" w:eastAsia="仿宋" w:hAnsi="仿宋"/>
                <w:color w:val="000000"/>
              </w:rPr>
            </w:pPr>
            <w:r>
              <w:rPr>
                <w:rFonts w:ascii="仿宋" w:eastAsia="仿宋" w:hAnsi="仿宋"/>
                <w:color w:val="000000"/>
              </w:rPr>
              <w:t>依维莫司</w:t>
            </w:r>
          </w:p>
        </w:tc>
      </w:tr>
      <w:tr w:rsidR="00B23A40">
        <w:trPr>
          <w:trHeight w:val="634"/>
        </w:trPr>
        <w:tc>
          <w:tcPr>
            <w:tcW w:w="2693" w:type="dxa"/>
          </w:tcPr>
          <w:p w:rsidR="00B23A40" w:rsidRDefault="00DD1A0D">
            <w:pPr>
              <w:spacing w:line="360" w:lineRule="auto"/>
              <w:jc w:val="left"/>
              <w:rPr>
                <w:rFonts w:ascii="仿宋" w:eastAsia="仿宋" w:hAnsi="仿宋"/>
                <w:color w:val="000000"/>
              </w:rPr>
            </w:pPr>
            <w:r>
              <w:rPr>
                <w:rFonts w:ascii="仿宋" w:eastAsia="仿宋" w:hAnsi="仿宋" w:hint="eastAsia"/>
                <w:color w:val="000000"/>
              </w:rPr>
              <w:t>结直肠癌</w:t>
            </w:r>
          </w:p>
        </w:tc>
        <w:tc>
          <w:tcPr>
            <w:tcW w:w="2454" w:type="dxa"/>
          </w:tcPr>
          <w:p w:rsidR="00B23A40" w:rsidRDefault="00DD1A0D">
            <w:pPr>
              <w:spacing w:line="360" w:lineRule="auto"/>
              <w:rPr>
                <w:rFonts w:ascii="仿宋" w:eastAsia="仿宋" w:hAnsi="仿宋"/>
                <w:color w:val="000000"/>
              </w:rPr>
            </w:pPr>
            <w:r>
              <w:rPr>
                <w:rFonts w:ascii="仿宋" w:eastAsia="仿宋" w:hAnsi="仿宋"/>
                <w:color w:val="000000"/>
              </w:rPr>
              <w:t>西妥昔单抗</w:t>
            </w:r>
          </w:p>
        </w:tc>
        <w:tc>
          <w:tcPr>
            <w:tcW w:w="2507" w:type="dxa"/>
          </w:tcPr>
          <w:p w:rsidR="00B23A40" w:rsidRDefault="00DD1A0D">
            <w:pPr>
              <w:spacing w:line="360" w:lineRule="auto"/>
              <w:rPr>
                <w:rFonts w:ascii="仿宋" w:eastAsia="仿宋" w:hAnsi="仿宋"/>
                <w:color w:val="000000"/>
              </w:rPr>
            </w:pPr>
            <w:r>
              <w:rPr>
                <w:rFonts w:ascii="仿宋" w:eastAsia="仿宋" w:hAnsi="仿宋"/>
                <w:color w:val="000000"/>
              </w:rPr>
              <w:t>贝伐珠单抗</w:t>
            </w:r>
          </w:p>
          <w:p w:rsidR="00B23A40" w:rsidRDefault="00DD1A0D">
            <w:pPr>
              <w:spacing w:line="360" w:lineRule="auto"/>
              <w:rPr>
                <w:rFonts w:ascii="仿宋" w:eastAsia="仿宋" w:hAnsi="仿宋"/>
                <w:color w:val="000000"/>
              </w:rPr>
            </w:pPr>
            <w:r>
              <w:rPr>
                <w:rFonts w:ascii="仿宋" w:eastAsia="仿宋" w:hAnsi="仿宋"/>
                <w:color w:val="000000"/>
              </w:rPr>
              <w:t>瑞戈非尼</w:t>
            </w:r>
          </w:p>
          <w:p w:rsidR="00B23A40" w:rsidRDefault="00DD1A0D">
            <w:pPr>
              <w:spacing w:line="360" w:lineRule="auto"/>
              <w:rPr>
                <w:rFonts w:ascii="仿宋" w:eastAsia="仿宋" w:hAnsi="仿宋"/>
                <w:color w:val="000000"/>
              </w:rPr>
            </w:pPr>
            <w:r>
              <w:rPr>
                <w:rFonts w:ascii="仿宋" w:eastAsia="仿宋" w:hAnsi="仿宋" w:hint="eastAsia"/>
                <w:color w:val="000000"/>
              </w:rPr>
              <w:t>呋喹替尼</w:t>
            </w:r>
          </w:p>
        </w:tc>
      </w:tr>
      <w:tr w:rsidR="00B23A40">
        <w:tc>
          <w:tcPr>
            <w:tcW w:w="2693" w:type="dxa"/>
          </w:tcPr>
          <w:p w:rsidR="00B23A40" w:rsidRDefault="00DD1A0D">
            <w:pPr>
              <w:spacing w:line="360" w:lineRule="auto"/>
              <w:jc w:val="left"/>
              <w:rPr>
                <w:rFonts w:ascii="仿宋" w:eastAsia="仿宋" w:hAnsi="仿宋"/>
                <w:color w:val="000000"/>
              </w:rPr>
            </w:pPr>
            <w:r>
              <w:rPr>
                <w:rFonts w:ascii="仿宋" w:eastAsia="仿宋" w:hAnsi="仿宋"/>
                <w:color w:val="000000"/>
              </w:rPr>
              <w:t>白血病</w:t>
            </w:r>
          </w:p>
        </w:tc>
        <w:tc>
          <w:tcPr>
            <w:tcW w:w="2454" w:type="dxa"/>
          </w:tcPr>
          <w:p w:rsidR="00B23A40" w:rsidRDefault="00DD1A0D">
            <w:pPr>
              <w:spacing w:line="360" w:lineRule="auto"/>
              <w:rPr>
                <w:rFonts w:ascii="仿宋" w:eastAsia="仿宋" w:hAnsi="仿宋"/>
                <w:color w:val="000000"/>
              </w:rPr>
            </w:pPr>
            <w:r>
              <w:rPr>
                <w:rFonts w:ascii="仿宋" w:eastAsia="仿宋" w:hAnsi="仿宋"/>
                <w:color w:val="000000"/>
              </w:rPr>
              <w:t>伊马替尼</w:t>
            </w:r>
          </w:p>
          <w:p w:rsidR="00B23A40" w:rsidRDefault="00DD1A0D">
            <w:pPr>
              <w:spacing w:line="360" w:lineRule="auto"/>
              <w:rPr>
                <w:rFonts w:ascii="仿宋" w:eastAsia="仿宋" w:hAnsi="仿宋"/>
                <w:color w:val="000000"/>
              </w:rPr>
            </w:pPr>
            <w:r>
              <w:rPr>
                <w:rFonts w:ascii="仿宋" w:eastAsia="仿宋" w:hAnsi="仿宋"/>
                <w:color w:val="000000"/>
              </w:rPr>
              <w:t>达沙替尼</w:t>
            </w:r>
          </w:p>
          <w:p w:rsidR="00B23A40" w:rsidRDefault="00DD1A0D">
            <w:pPr>
              <w:spacing w:line="360" w:lineRule="auto"/>
              <w:rPr>
                <w:rFonts w:ascii="仿宋" w:eastAsia="仿宋" w:hAnsi="仿宋"/>
                <w:color w:val="000000"/>
              </w:rPr>
            </w:pPr>
            <w:r>
              <w:rPr>
                <w:rFonts w:ascii="仿宋" w:eastAsia="仿宋" w:hAnsi="仿宋"/>
                <w:color w:val="000000"/>
              </w:rPr>
              <w:t>尼洛替尼</w:t>
            </w:r>
          </w:p>
        </w:tc>
        <w:tc>
          <w:tcPr>
            <w:tcW w:w="2507" w:type="dxa"/>
          </w:tcPr>
          <w:p w:rsidR="00B23A40" w:rsidRDefault="00DD1A0D">
            <w:pPr>
              <w:spacing w:line="360" w:lineRule="auto"/>
              <w:rPr>
                <w:rFonts w:ascii="仿宋" w:eastAsia="仿宋" w:hAnsi="仿宋"/>
                <w:color w:val="000000"/>
              </w:rPr>
            </w:pPr>
            <w:r>
              <w:rPr>
                <w:rFonts w:ascii="仿宋" w:eastAsia="仿宋" w:hAnsi="仿宋" w:hint="eastAsia"/>
                <w:color w:val="000000"/>
              </w:rPr>
              <w:t>伊布替尼</w:t>
            </w:r>
          </w:p>
        </w:tc>
      </w:tr>
      <w:tr w:rsidR="00B23A40">
        <w:tc>
          <w:tcPr>
            <w:tcW w:w="2693" w:type="dxa"/>
          </w:tcPr>
          <w:p w:rsidR="00B23A40" w:rsidRDefault="00DD1A0D">
            <w:pPr>
              <w:spacing w:line="360" w:lineRule="auto"/>
              <w:jc w:val="left"/>
              <w:rPr>
                <w:rFonts w:ascii="仿宋" w:eastAsia="仿宋" w:hAnsi="仿宋"/>
                <w:color w:val="000000"/>
              </w:rPr>
            </w:pPr>
            <w:r>
              <w:rPr>
                <w:rFonts w:ascii="仿宋" w:eastAsia="仿宋" w:hAnsi="仿宋" w:hint="eastAsia"/>
                <w:color w:val="000000"/>
              </w:rPr>
              <w:t>淋巴瘤</w:t>
            </w:r>
          </w:p>
        </w:tc>
        <w:tc>
          <w:tcPr>
            <w:tcW w:w="2454" w:type="dxa"/>
          </w:tcPr>
          <w:p w:rsidR="00B23A40" w:rsidRDefault="00DD1A0D">
            <w:pPr>
              <w:spacing w:line="360" w:lineRule="auto"/>
              <w:rPr>
                <w:rFonts w:ascii="仿宋" w:eastAsia="仿宋" w:hAnsi="仿宋"/>
                <w:color w:val="000000"/>
              </w:rPr>
            </w:pPr>
            <w:r>
              <w:rPr>
                <w:rFonts w:ascii="仿宋" w:eastAsia="仿宋" w:hAnsi="仿宋"/>
                <w:color w:val="000000"/>
              </w:rPr>
              <w:t>利妥昔单抗</w:t>
            </w:r>
          </w:p>
        </w:tc>
        <w:tc>
          <w:tcPr>
            <w:tcW w:w="2507" w:type="dxa"/>
          </w:tcPr>
          <w:p w:rsidR="00B23A40" w:rsidRDefault="00DD1A0D">
            <w:pPr>
              <w:spacing w:line="360" w:lineRule="auto"/>
              <w:rPr>
                <w:rFonts w:ascii="仿宋" w:eastAsia="仿宋" w:hAnsi="仿宋"/>
                <w:color w:val="000000"/>
              </w:rPr>
            </w:pPr>
            <w:r>
              <w:rPr>
                <w:rFonts w:ascii="仿宋" w:eastAsia="仿宋" w:hAnsi="仿宋"/>
                <w:color w:val="000000"/>
              </w:rPr>
              <w:t>西达本胺</w:t>
            </w:r>
          </w:p>
          <w:p w:rsidR="00B23A40" w:rsidRDefault="00DD1A0D">
            <w:pPr>
              <w:spacing w:line="360" w:lineRule="auto"/>
              <w:rPr>
                <w:rFonts w:ascii="仿宋" w:eastAsia="仿宋" w:hAnsi="仿宋"/>
                <w:color w:val="000000"/>
              </w:rPr>
            </w:pPr>
            <w:r>
              <w:rPr>
                <w:rFonts w:ascii="仿宋" w:eastAsia="仿宋" w:hAnsi="仿宋" w:hint="eastAsia"/>
                <w:color w:val="000000"/>
              </w:rPr>
              <w:t>伊布替尼</w:t>
            </w:r>
          </w:p>
          <w:p w:rsidR="00B23A40" w:rsidRDefault="00DD1A0D">
            <w:pPr>
              <w:spacing w:line="360" w:lineRule="auto"/>
              <w:rPr>
                <w:rFonts w:ascii="仿宋" w:eastAsia="仿宋" w:hAnsi="仿宋"/>
                <w:color w:val="000000"/>
              </w:rPr>
            </w:pPr>
            <w:r>
              <w:rPr>
                <w:rFonts w:ascii="仿宋" w:eastAsia="仿宋" w:hAnsi="仿宋"/>
                <w:color w:val="000000"/>
              </w:rPr>
              <w:t>硼替佐米</w:t>
            </w:r>
          </w:p>
          <w:p w:rsidR="00B23A40" w:rsidRDefault="00DD1A0D">
            <w:pPr>
              <w:spacing w:line="360" w:lineRule="auto"/>
              <w:rPr>
                <w:rFonts w:ascii="仿宋" w:eastAsia="仿宋" w:hAnsi="仿宋"/>
                <w:color w:val="000000"/>
              </w:rPr>
            </w:pPr>
            <w:r>
              <w:rPr>
                <w:rFonts w:ascii="仿宋" w:eastAsia="仿宋" w:hAnsi="仿宋" w:hint="eastAsia"/>
                <w:color w:val="000000"/>
              </w:rPr>
              <w:t>信迪利单抗</w:t>
            </w:r>
          </w:p>
          <w:p w:rsidR="00B23A40" w:rsidRDefault="00DD1A0D">
            <w:pPr>
              <w:spacing w:line="360" w:lineRule="auto"/>
              <w:rPr>
                <w:rFonts w:ascii="仿宋" w:eastAsia="仿宋" w:hAnsi="仿宋"/>
                <w:color w:val="000000"/>
              </w:rPr>
            </w:pPr>
            <w:r>
              <w:rPr>
                <w:rFonts w:ascii="仿宋" w:eastAsia="仿宋" w:hAnsi="仿宋" w:cs="Times New Roman" w:hint="eastAsia"/>
                <w:color w:val="000000"/>
              </w:rPr>
              <w:t>卡瑞利珠单抗</w:t>
            </w:r>
          </w:p>
        </w:tc>
      </w:tr>
      <w:tr w:rsidR="00B23A40">
        <w:tc>
          <w:tcPr>
            <w:tcW w:w="2693" w:type="dxa"/>
          </w:tcPr>
          <w:p w:rsidR="00B23A40" w:rsidRDefault="00DD1A0D">
            <w:pPr>
              <w:spacing w:line="360" w:lineRule="auto"/>
              <w:jc w:val="left"/>
              <w:rPr>
                <w:rFonts w:ascii="仿宋" w:eastAsia="仿宋" w:hAnsi="仿宋"/>
                <w:color w:val="000000"/>
              </w:rPr>
            </w:pPr>
            <w:r>
              <w:rPr>
                <w:rFonts w:ascii="仿宋" w:eastAsia="仿宋" w:hAnsi="仿宋"/>
                <w:color w:val="000000"/>
              </w:rPr>
              <w:t>多发性骨髓瘤</w:t>
            </w:r>
          </w:p>
        </w:tc>
        <w:tc>
          <w:tcPr>
            <w:tcW w:w="2454" w:type="dxa"/>
          </w:tcPr>
          <w:p w:rsidR="00B23A40" w:rsidRDefault="00B23A40">
            <w:pPr>
              <w:spacing w:line="360" w:lineRule="auto"/>
              <w:rPr>
                <w:rFonts w:ascii="仿宋" w:eastAsia="仿宋" w:hAnsi="仿宋"/>
                <w:color w:val="000000"/>
              </w:rPr>
            </w:pPr>
          </w:p>
        </w:tc>
        <w:tc>
          <w:tcPr>
            <w:tcW w:w="2507" w:type="dxa"/>
          </w:tcPr>
          <w:p w:rsidR="00B23A40" w:rsidRDefault="00DD1A0D">
            <w:pPr>
              <w:spacing w:line="360" w:lineRule="auto"/>
              <w:rPr>
                <w:rFonts w:ascii="仿宋" w:eastAsia="仿宋" w:hAnsi="仿宋"/>
                <w:color w:val="000000"/>
              </w:rPr>
            </w:pPr>
            <w:r>
              <w:rPr>
                <w:rFonts w:ascii="仿宋" w:eastAsia="仿宋" w:hAnsi="仿宋"/>
                <w:color w:val="000000"/>
              </w:rPr>
              <w:t>硼替佐米</w:t>
            </w:r>
          </w:p>
          <w:p w:rsidR="00B23A40" w:rsidRDefault="00DD1A0D">
            <w:pPr>
              <w:spacing w:line="360" w:lineRule="auto"/>
              <w:rPr>
                <w:rFonts w:ascii="仿宋" w:eastAsia="仿宋" w:hAnsi="仿宋"/>
                <w:color w:val="000000"/>
              </w:rPr>
            </w:pPr>
            <w:r>
              <w:rPr>
                <w:rFonts w:ascii="仿宋" w:eastAsia="仿宋" w:hAnsi="仿宋" w:hint="eastAsia"/>
                <w:color w:val="000000"/>
              </w:rPr>
              <w:t>来那度胺</w:t>
            </w:r>
          </w:p>
          <w:p w:rsidR="00B23A40" w:rsidRDefault="00DD1A0D">
            <w:pPr>
              <w:spacing w:line="360" w:lineRule="auto"/>
              <w:rPr>
                <w:rFonts w:ascii="仿宋" w:eastAsia="仿宋" w:hAnsi="仿宋"/>
                <w:color w:val="000000"/>
              </w:rPr>
            </w:pPr>
            <w:r>
              <w:rPr>
                <w:rFonts w:ascii="仿宋" w:eastAsia="仿宋" w:hAnsi="仿宋" w:hint="eastAsia"/>
                <w:color w:val="000000"/>
              </w:rPr>
              <w:t>沙利度胺</w:t>
            </w:r>
          </w:p>
          <w:p w:rsidR="00B23A40" w:rsidRDefault="00DD1A0D">
            <w:pPr>
              <w:spacing w:line="360" w:lineRule="auto"/>
              <w:rPr>
                <w:rFonts w:ascii="仿宋" w:eastAsia="仿宋" w:hAnsi="仿宋"/>
                <w:color w:val="000000"/>
              </w:rPr>
            </w:pPr>
            <w:r>
              <w:rPr>
                <w:rFonts w:ascii="仿宋" w:eastAsia="仿宋" w:hAnsi="仿宋" w:hint="eastAsia"/>
                <w:color w:val="000000"/>
              </w:rPr>
              <w:t>伊沙佐米</w:t>
            </w:r>
          </w:p>
        </w:tc>
      </w:tr>
      <w:tr w:rsidR="00B23A40">
        <w:tc>
          <w:tcPr>
            <w:tcW w:w="2693" w:type="dxa"/>
          </w:tcPr>
          <w:p w:rsidR="00B23A40" w:rsidRDefault="00DD1A0D">
            <w:pPr>
              <w:spacing w:line="360" w:lineRule="auto"/>
              <w:jc w:val="left"/>
              <w:rPr>
                <w:rFonts w:ascii="仿宋" w:eastAsia="仿宋" w:hAnsi="仿宋"/>
                <w:color w:val="000000"/>
              </w:rPr>
            </w:pPr>
            <w:r>
              <w:rPr>
                <w:rFonts w:ascii="仿宋" w:eastAsia="仿宋" w:hAnsi="仿宋" w:hint="eastAsia"/>
                <w:color w:val="000000"/>
              </w:rPr>
              <w:t>骨髓增殖性疾病</w:t>
            </w:r>
          </w:p>
        </w:tc>
        <w:tc>
          <w:tcPr>
            <w:tcW w:w="2454" w:type="dxa"/>
          </w:tcPr>
          <w:p w:rsidR="00B23A40" w:rsidRDefault="00B23A40">
            <w:pPr>
              <w:spacing w:line="360" w:lineRule="auto"/>
              <w:rPr>
                <w:rFonts w:ascii="仿宋" w:eastAsia="仿宋" w:hAnsi="仿宋"/>
                <w:color w:val="000000"/>
              </w:rPr>
            </w:pPr>
          </w:p>
        </w:tc>
        <w:tc>
          <w:tcPr>
            <w:tcW w:w="2507" w:type="dxa"/>
          </w:tcPr>
          <w:p w:rsidR="00B23A40" w:rsidRDefault="00DD1A0D">
            <w:pPr>
              <w:spacing w:line="360" w:lineRule="auto"/>
              <w:rPr>
                <w:rFonts w:ascii="仿宋" w:eastAsia="仿宋" w:hAnsi="仿宋"/>
                <w:color w:val="000000"/>
              </w:rPr>
            </w:pPr>
            <w:r>
              <w:rPr>
                <w:rFonts w:ascii="仿宋" w:eastAsia="仿宋" w:hAnsi="仿宋"/>
                <w:color w:val="000000"/>
              </w:rPr>
              <w:t>芦可替尼</w:t>
            </w:r>
          </w:p>
        </w:tc>
      </w:tr>
      <w:tr w:rsidR="00B23A40">
        <w:trPr>
          <w:trHeight w:val="1600"/>
        </w:trPr>
        <w:tc>
          <w:tcPr>
            <w:tcW w:w="2693" w:type="dxa"/>
          </w:tcPr>
          <w:p w:rsidR="00B23A40" w:rsidRDefault="00DD1A0D">
            <w:pPr>
              <w:spacing w:line="360" w:lineRule="auto"/>
              <w:jc w:val="left"/>
              <w:rPr>
                <w:rFonts w:ascii="仿宋" w:eastAsia="仿宋" w:hAnsi="仿宋"/>
                <w:color w:val="000000"/>
              </w:rPr>
            </w:pPr>
            <w:r>
              <w:rPr>
                <w:rFonts w:ascii="仿宋" w:eastAsia="仿宋" w:hAnsi="仿宋"/>
                <w:color w:val="000000"/>
              </w:rPr>
              <w:t>肾癌</w:t>
            </w:r>
          </w:p>
        </w:tc>
        <w:tc>
          <w:tcPr>
            <w:tcW w:w="2454" w:type="dxa"/>
          </w:tcPr>
          <w:p w:rsidR="00B23A40" w:rsidRDefault="00B23A40">
            <w:pPr>
              <w:spacing w:line="360" w:lineRule="auto"/>
              <w:rPr>
                <w:rFonts w:ascii="仿宋" w:eastAsia="仿宋" w:hAnsi="仿宋"/>
                <w:color w:val="000000"/>
              </w:rPr>
            </w:pPr>
          </w:p>
        </w:tc>
        <w:tc>
          <w:tcPr>
            <w:tcW w:w="2507" w:type="dxa"/>
          </w:tcPr>
          <w:p w:rsidR="00B23A40" w:rsidRDefault="00DD1A0D">
            <w:pPr>
              <w:spacing w:line="360" w:lineRule="auto"/>
              <w:rPr>
                <w:rFonts w:ascii="仿宋" w:eastAsia="仿宋" w:hAnsi="仿宋"/>
                <w:color w:val="000000"/>
              </w:rPr>
            </w:pPr>
            <w:r>
              <w:rPr>
                <w:rFonts w:ascii="仿宋" w:eastAsia="仿宋" w:hAnsi="仿宋"/>
                <w:color w:val="000000"/>
              </w:rPr>
              <w:t>依维莫司</w:t>
            </w:r>
          </w:p>
          <w:p w:rsidR="00B23A40" w:rsidRDefault="00DD1A0D">
            <w:pPr>
              <w:spacing w:line="360" w:lineRule="auto"/>
              <w:rPr>
                <w:rFonts w:ascii="仿宋" w:eastAsia="仿宋" w:hAnsi="仿宋"/>
                <w:color w:val="000000"/>
              </w:rPr>
            </w:pPr>
            <w:r>
              <w:rPr>
                <w:rFonts w:ascii="仿宋" w:eastAsia="仿宋" w:hAnsi="仿宋"/>
                <w:color w:val="000000"/>
              </w:rPr>
              <w:t>索拉非尼</w:t>
            </w:r>
          </w:p>
          <w:p w:rsidR="00B23A40" w:rsidRDefault="00DD1A0D">
            <w:pPr>
              <w:spacing w:line="360" w:lineRule="auto"/>
              <w:rPr>
                <w:rFonts w:ascii="仿宋" w:eastAsia="仿宋" w:hAnsi="仿宋"/>
                <w:color w:val="000000"/>
              </w:rPr>
            </w:pPr>
            <w:r>
              <w:rPr>
                <w:rFonts w:ascii="仿宋" w:eastAsia="仿宋" w:hAnsi="仿宋"/>
                <w:color w:val="000000"/>
              </w:rPr>
              <w:t>舒尼替尼</w:t>
            </w:r>
          </w:p>
          <w:p w:rsidR="00B23A40" w:rsidRDefault="00DD1A0D">
            <w:pPr>
              <w:spacing w:line="360" w:lineRule="auto"/>
              <w:rPr>
                <w:rFonts w:ascii="仿宋" w:eastAsia="仿宋" w:hAnsi="仿宋"/>
                <w:color w:val="000000"/>
              </w:rPr>
            </w:pPr>
            <w:r>
              <w:rPr>
                <w:rFonts w:ascii="仿宋" w:eastAsia="仿宋" w:hAnsi="仿宋"/>
                <w:color w:val="000000"/>
              </w:rPr>
              <w:t>阿昔替尼</w:t>
            </w:r>
          </w:p>
          <w:p w:rsidR="00B23A40" w:rsidRDefault="00DD1A0D">
            <w:pPr>
              <w:spacing w:line="360" w:lineRule="auto"/>
              <w:rPr>
                <w:rFonts w:ascii="仿宋" w:eastAsia="仿宋" w:hAnsi="仿宋"/>
                <w:color w:val="000000"/>
              </w:rPr>
            </w:pPr>
            <w:r>
              <w:rPr>
                <w:rFonts w:ascii="仿宋" w:eastAsia="仿宋" w:hAnsi="仿宋"/>
                <w:color w:val="000000"/>
              </w:rPr>
              <w:t>培唑帕尼</w:t>
            </w:r>
          </w:p>
          <w:p w:rsidR="00B23A40" w:rsidRDefault="00DD1A0D">
            <w:pPr>
              <w:spacing w:line="360" w:lineRule="auto"/>
              <w:rPr>
                <w:rFonts w:ascii="仿宋" w:eastAsia="仿宋" w:hAnsi="仿宋"/>
                <w:color w:val="000000"/>
              </w:rPr>
            </w:pPr>
            <w:r>
              <w:rPr>
                <w:rFonts w:ascii="仿宋" w:eastAsia="仿宋" w:hAnsi="仿宋" w:hint="eastAsia"/>
                <w:color w:val="000000"/>
              </w:rPr>
              <w:t>帕博丽珠单抗</w:t>
            </w:r>
          </w:p>
          <w:p w:rsidR="00B23A40" w:rsidRDefault="00DD1A0D">
            <w:pPr>
              <w:spacing w:line="360" w:lineRule="auto"/>
              <w:rPr>
                <w:rFonts w:ascii="仿宋" w:eastAsia="仿宋" w:hAnsi="仿宋"/>
                <w:color w:val="000000"/>
              </w:rPr>
            </w:pPr>
            <w:r>
              <w:rPr>
                <w:rFonts w:ascii="仿宋" w:eastAsia="仿宋" w:hAnsi="仿宋" w:hint="eastAsia"/>
                <w:color w:val="000000"/>
              </w:rPr>
              <w:t>纳武利尤单抗</w:t>
            </w:r>
          </w:p>
        </w:tc>
      </w:tr>
      <w:tr w:rsidR="00B23A40">
        <w:trPr>
          <w:trHeight w:val="634"/>
        </w:trPr>
        <w:tc>
          <w:tcPr>
            <w:tcW w:w="2693" w:type="dxa"/>
          </w:tcPr>
          <w:p w:rsidR="00B23A40" w:rsidRDefault="00DD1A0D">
            <w:pPr>
              <w:spacing w:line="360" w:lineRule="auto"/>
              <w:jc w:val="left"/>
              <w:rPr>
                <w:rFonts w:ascii="仿宋" w:eastAsia="仿宋" w:hAnsi="仿宋"/>
                <w:color w:val="000000"/>
              </w:rPr>
            </w:pPr>
            <w:r>
              <w:rPr>
                <w:rFonts w:ascii="仿宋" w:eastAsia="仿宋" w:hAnsi="仿宋"/>
                <w:color w:val="000000"/>
              </w:rPr>
              <w:t>乳腺癌</w:t>
            </w:r>
          </w:p>
        </w:tc>
        <w:tc>
          <w:tcPr>
            <w:tcW w:w="2454" w:type="dxa"/>
          </w:tcPr>
          <w:p w:rsidR="00B23A40" w:rsidRDefault="00DD1A0D">
            <w:pPr>
              <w:spacing w:line="360" w:lineRule="auto"/>
              <w:rPr>
                <w:rFonts w:ascii="仿宋" w:eastAsia="仿宋" w:hAnsi="仿宋"/>
                <w:color w:val="000000"/>
              </w:rPr>
            </w:pPr>
            <w:r>
              <w:rPr>
                <w:rFonts w:ascii="仿宋" w:eastAsia="仿宋" w:hAnsi="仿宋"/>
                <w:color w:val="000000"/>
              </w:rPr>
              <w:t>曲妥珠单抗</w:t>
            </w:r>
          </w:p>
          <w:p w:rsidR="00B23A40" w:rsidRDefault="00DD1A0D">
            <w:pPr>
              <w:spacing w:line="360" w:lineRule="auto"/>
              <w:rPr>
                <w:rFonts w:ascii="仿宋" w:eastAsia="仿宋" w:hAnsi="仿宋"/>
                <w:color w:val="000000"/>
              </w:rPr>
            </w:pPr>
            <w:r>
              <w:rPr>
                <w:rFonts w:ascii="仿宋" w:eastAsia="仿宋" w:hAnsi="仿宋"/>
                <w:color w:val="000000"/>
              </w:rPr>
              <w:t>拉帕替尼</w:t>
            </w:r>
          </w:p>
          <w:p w:rsidR="00B23A40" w:rsidRDefault="00DD1A0D">
            <w:pPr>
              <w:spacing w:line="360" w:lineRule="auto"/>
              <w:rPr>
                <w:rFonts w:ascii="仿宋" w:eastAsia="仿宋" w:hAnsi="仿宋"/>
                <w:color w:val="000000"/>
              </w:rPr>
            </w:pPr>
            <w:r>
              <w:rPr>
                <w:rFonts w:ascii="仿宋" w:eastAsia="仿宋" w:hAnsi="仿宋" w:hint="eastAsia"/>
                <w:color w:val="000000"/>
              </w:rPr>
              <w:t>吡咯替尼</w:t>
            </w:r>
          </w:p>
          <w:p w:rsidR="00B23A40" w:rsidRDefault="00DD1A0D">
            <w:pPr>
              <w:spacing w:line="360" w:lineRule="auto"/>
              <w:rPr>
                <w:rFonts w:ascii="仿宋" w:eastAsia="仿宋" w:hAnsi="仿宋"/>
                <w:color w:val="000000"/>
              </w:rPr>
            </w:pPr>
            <w:r>
              <w:rPr>
                <w:rFonts w:ascii="仿宋" w:eastAsia="仿宋" w:hAnsi="仿宋" w:hint="eastAsia"/>
                <w:color w:val="000000"/>
              </w:rPr>
              <w:t>帕妥珠单抗</w:t>
            </w:r>
          </w:p>
        </w:tc>
        <w:tc>
          <w:tcPr>
            <w:tcW w:w="2507" w:type="dxa"/>
          </w:tcPr>
          <w:p w:rsidR="00B23A40" w:rsidRDefault="00DD1A0D">
            <w:pPr>
              <w:spacing w:line="360" w:lineRule="auto"/>
              <w:rPr>
                <w:rFonts w:ascii="仿宋" w:eastAsia="仿宋" w:hAnsi="仿宋"/>
                <w:color w:val="000000"/>
              </w:rPr>
            </w:pPr>
            <w:r>
              <w:rPr>
                <w:rFonts w:ascii="仿宋" w:eastAsia="仿宋" w:hAnsi="仿宋" w:hint="eastAsia"/>
                <w:color w:val="000000"/>
              </w:rPr>
              <w:t>哌柏西利</w:t>
            </w:r>
          </w:p>
        </w:tc>
      </w:tr>
      <w:tr w:rsidR="00B23A40">
        <w:trPr>
          <w:trHeight w:val="946"/>
        </w:trPr>
        <w:tc>
          <w:tcPr>
            <w:tcW w:w="2693" w:type="dxa"/>
          </w:tcPr>
          <w:p w:rsidR="00B23A40" w:rsidRDefault="00DD1A0D">
            <w:pPr>
              <w:spacing w:line="360" w:lineRule="auto"/>
              <w:jc w:val="left"/>
              <w:rPr>
                <w:rFonts w:ascii="仿宋" w:eastAsia="仿宋" w:hAnsi="仿宋"/>
                <w:color w:val="000000"/>
              </w:rPr>
            </w:pPr>
            <w:r>
              <w:rPr>
                <w:rFonts w:ascii="仿宋" w:eastAsia="仿宋" w:hAnsi="仿宋" w:hint="eastAsia"/>
                <w:color w:val="000000"/>
              </w:rPr>
              <w:lastRenderedPageBreak/>
              <w:t>黑色素瘤</w:t>
            </w:r>
          </w:p>
          <w:p w:rsidR="00B23A40" w:rsidRDefault="00B23A40">
            <w:pPr>
              <w:spacing w:line="360" w:lineRule="auto"/>
              <w:jc w:val="left"/>
              <w:rPr>
                <w:rFonts w:ascii="仿宋" w:eastAsia="仿宋" w:hAnsi="仿宋"/>
                <w:color w:val="000000"/>
              </w:rPr>
            </w:pPr>
          </w:p>
        </w:tc>
        <w:tc>
          <w:tcPr>
            <w:tcW w:w="2454" w:type="dxa"/>
          </w:tcPr>
          <w:p w:rsidR="00B23A40" w:rsidRDefault="00DD1A0D">
            <w:pPr>
              <w:spacing w:line="360" w:lineRule="auto"/>
              <w:rPr>
                <w:rFonts w:ascii="仿宋" w:eastAsia="仿宋" w:hAnsi="仿宋"/>
                <w:color w:val="000000"/>
              </w:rPr>
            </w:pPr>
            <w:r>
              <w:rPr>
                <w:rFonts w:ascii="仿宋" w:eastAsia="仿宋" w:hAnsi="仿宋"/>
                <w:color w:val="000000"/>
              </w:rPr>
              <w:t>伊马替尼</w:t>
            </w:r>
          </w:p>
          <w:p w:rsidR="00B23A40" w:rsidRDefault="00DD1A0D">
            <w:pPr>
              <w:spacing w:line="360" w:lineRule="auto"/>
              <w:rPr>
                <w:rFonts w:ascii="仿宋" w:eastAsia="仿宋" w:hAnsi="仿宋"/>
                <w:color w:val="000000"/>
              </w:rPr>
            </w:pPr>
            <w:r>
              <w:rPr>
                <w:rFonts w:ascii="仿宋" w:eastAsia="仿宋" w:hAnsi="仿宋"/>
                <w:color w:val="000000"/>
              </w:rPr>
              <w:t>维莫非尼</w:t>
            </w:r>
          </w:p>
        </w:tc>
        <w:tc>
          <w:tcPr>
            <w:tcW w:w="2507" w:type="dxa"/>
          </w:tcPr>
          <w:p w:rsidR="00B23A40" w:rsidRDefault="00DD1A0D">
            <w:pPr>
              <w:spacing w:line="360" w:lineRule="auto"/>
              <w:rPr>
                <w:rFonts w:ascii="仿宋" w:eastAsia="仿宋" w:hAnsi="仿宋"/>
                <w:color w:val="000000"/>
              </w:rPr>
            </w:pPr>
            <w:r>
              <w:rPr>
                <w:rFonts w:ascii="仿宋" w:eastAsia="仿宋" w:hAnsi="仿宋" w:hint="eastAsia"/>
                <w:color w:val="000000"/>
              </w:rPr>
              <w:t>帕博利珠单抗</w:t>
            </w:r>
          </w:p>
          <w:p w:rsidR="00B23A40" w:rsidRDefault="00DD1A0D">
            <w:pPr>
              <w:spacing w:line="360" w:lineRule="auto"/>
              <w:rPr>
                <w:rFonts w:ascii="仿宋" w:eastAsia="仿宋" w:hAnsi="仿宋"/>
                <w:color w:val="000000"/>
              </w:rPr>
            </w:pPr>
            <w:r>
              <w:rPr>
                <w:rFonts w:ascii="仿宋" w:eastAsia="仿宋" w:hAnsi="仿宋" w:hint="eastAsia"/>
                <w:color w:val="000000"/>
              </w:rPr>
              <w:t>特瑞普利单抗</w:t>
            </w:r>
          </w:p>
        </w:tc>
      </w:tr>
      <w:tr w:rsidR="00B23A40">
        <w:tc>
          <w:tcPr>
            <w:tcW w:w="2693" w:type="dxa"/>
          </w:tcPr>
          <w:p w:rsidR="00B23A40" w:rsidRDefault="00DD1A0D">
            <w:pPr>
              <w:spacing w:line="360" w:lineRule="auto"/>
              <w:jc w:val="left"/>
              <w:rPr>
                <w:rFonts w:ascii="仿宋" w:eastAsia="仿宋" w:hAnsi="仿宋"/>
                <w:color w:val="000000"/>
              </w:rPr>
            </w:pPr>
            <w:r>
              <w:rPr>
                <w:rFonts w:ascii="仿宋" w:eastAsia="仿宋" w:hAnsi="仿宋" w:hint="eastAsia"/>
                <w:color w:val="000000"/>
              </w:rPr>
              <w:t>结节性硬化症相关的室管膜下巨细胞星形细胞瘤</w:t>
            </w:r>
          </w:p>
        </w:tc>
        <w:tc>
          <w:tcPr>
            <w:tcW w:w="2454" w:type="dxa"/>
          </w:tcPr>
          <w:p w:rsidR="00B23A40" w:rsidRDefault="00B23A40">
            <w:pPr>
              <w:spacing w:line="360" w:lineRule="auto"/>
              <w:rPr>
                <w:rFonts w:ascii="仿宋" w:eastAsia="仿宋" w:hAnsi="仿宋"/>
                <w:color w:val="000000"/>
              </w:rPr>
            </w:pPr>
          </w:p>
        </w:tc>
        <w:tc>
          <w:tcPr>
            <w:tcW w:w="2507" w:type="dxa"/>
          </w:tcPr>
          <w:p w:rsidR="00B23A40" w:rsidRDefault="00DD1A0D">
            <w:pPr>
              <w:spacing w:line="360" w:lineRule="auto"/>
              <w:rPr>
                <w:rFonts w:ascii="仿宋" w:eastAsia="仿宋" w:hAnsi="仿宋"/>
                <w:color w:val="000000"/>
              </w:rPr>
            </w:pPr>
            <w:r>
              <w:rPr>
                <w:rFonts w:ascii="仿宋" w:eastAsia="仿宋" w:hAnsi="仿宋"/>
                <w:color w:val="000000"/>
              </w:rPr>
              <w:t>依维莫司</w:t>
            </w:r>
          </w:p>
        </w:tc>
      </w:tr>
      <w:tr w:rsidR="00B23A40">
        <w:tc>
          <w:tcPr>
            <w:tcW w:w="2693" w:type="dxa"/>
          </w:tcPr>
          <w:p w:rsidR="00B23A40" w:rsidRDefault="00DD1A0D">
            <w:pPr>
              <w:spacing w:line="360" w:lineRule="auto"/>
              <w:jc w:val="left"/>
              <w:rPr>
                <w:rFonts w:ascii="仿宋" w:eastAsia="仿宋" w:hAnsi="仿宋"/>
                <w:color w:val="000000"/>
              </w:rPr>
            </w:pPr>
            <w:r>
              <w:rPr>
                <w:rFonts w:ascii="仿宋" w:eastAsia="仿宋" w:hAnsi="仿宋" w:hint="eastAsia"/>
                <w:color w:val="000000"/>
              </w:rPr>
              <w:t>结节性硬化症相关的肾血管平滑肌脂肪瘤</w:t>
            </w:r>
          </w:p>
        </w:tc>
        <w:tc>
          <w:tcPr>
            <w:tcW w:w="2454" w:type="dxa"/>
          </w:tcPr>
          <w:p w:rsidR="00B23A40" w:rsidRDefault="00B23A40">
            <w:pPr>
              <w:spacing w:line="360" w:lineRule="auto"/>
              <w:rPr>
                <w:rFonts w:ascii="仿宋" w:eastAsia="仿宋" w:hAnsi="仿宋"/>
                <w:color w:val="000000"/>
              </w:rPr>
            </w:pPr>
          </w:p>
        </w:tc>
        <w:tc>
          <w:tcPr>
            <w:tcW w:w="2507" w:type="dxa"/>
          </w:tcPr>
          <w:p w:rsidR="00B23A40" w:rsidRDefault="00DD1A0D">
            <w:pPr>
              <w:spacing w:line="360" w:lineRule="auto"/>
              <w:rPr>
                <w:rFonts w:ascii="仿宋" w:eastAsia="仿宋" w:hAnsi="仿宋"/>
                <w:color w:val="000000"/>
              </w:rPr>
            </w:pPr>
            <w:r>
              <w:rPr>
                <w:rFonts w:ascii="仿宋" w:eastAsia="仿宋" w:hAnsi="仿宋"/>
                <w:color w:val="000000"/>
              </w:rPr>
              <w:t>依维莫司</w:t>
            </w:r>
          </w:p>
        </w:tc>
      </w:tr>
      <w:tr w:rsidR="00B23A40">
        <w:tc>
          <w:tcPr>
            <w:tcW w:w="2693" w:type="dxa"/>
          </w:tcPr>
          <w:p w:rsidR="00B23A40" w:rsidRDefault="00DD1A0D">
            <w:pPr>
              <w:spacing w:line="360" w:lineRule="auto"/>
              <w:jc w:val="left"/>
              <w:rPr>
                <w:rFonts w:ascii="仿宋" w:eastAsia="仿宋" w:hAnsi="仿宋"/>
                <w:color w:val="000000"/>
              </w:rPr>
            </w:pPr>
            <w:r>
              <w:rPr>
                <w:rFonts w:ascii="仿宋" w:eastAsia="仿宋" w:hAnsi="仿宋"/>
                <w:color w:val="000000"/>
              </w:rPr>
              <w:t>鼻咽癌</w:t>
            </w:r>
          </w:p>
        </w:tc>
        <w:tc>
          <w:tcPr>
            <w:tcW w:w="2454" w:type="dxa"/>
          </w:tcPr>
          <w:p w:rsidR="00B23A40" w:rsidRDefault="00DD1A0D">
            <w:pPr>
              <w:spacing w:line="360" w:lineRule="auto"/>
              <w:rPr>
                <w:rFonts w:ascii="仿宋" w:eastAsia="仿宋" w:hAnsi="仿宋"/>
                <w:color w:val="000000"/>
              </w:rPr>
            </w:pPr>
            <w:r>
              <w:rPr>
                <w:rFonts w:ascii="仿宋" w:eastAsia="仿宋" w:hAnsi="仿宋" w:hint="eastAsia"/>
                <w:color w:val="000000"/>
              </w:rPr>
              <w:t>尼妥珠单抗</w:t>
            </w:r>
          </w:p>
        </w:tc>
        <w:tc>
          <w:tcPr>
            <w:tcW w:w="2507" w:type="dxa"/>
          </w:tcPr>
          <w:p w:rsidR="00B23A40" w:rsidRDefault="00B23A40">
            <w:pPr>
              <w:spacing w:line="360" w:lineRule="auto"/>
              <w:rPr>
                <w:rFonts w:ascii="仿宋" w:eastAsia="仿宋" w:hAnsi="仿宋"/>
                <w:color w:val="000000"/>
              </w:rPr>
            </w:pPr>
          </w:p>
        </w:tc>
      </w:tr>
      <w:tr w:rsidR="00B23A40">
        <w:tc>
          <w:tcPr>
            <w:tcW w:w="2693" w:type="dxa"/>
          </w:tcPr>
          <w:p w:rsidR="00B23A40" w:rsidRDefault="00DD1A0D">
            <w:pPr>
              <w:spacing w:line="360" w:lineRule="auto"/>
              <w:jc w:val="left"/>
              <w:rPr>
                <w:rFonts w:ascii="仿宋" w:eastAsia="仿宋" w:hAnsi="仿宋"/>
                <w:color w:val="000000"/>
              </w:rPr>
            </w:pPr>
            <w:r>
              <w:rPr>
                <w:rFonts w:ascii="仿宋" w:eastAsia="仿宋" w:hAnsi="仿宋" w:hint="eastAsia"/>
                <w:color w:val="000000"/>
              </w:rPr>
              <w:t>甲状腺癌</w:t>
            </w:r>
          </w:p>
        </w:tc>
        <w:tc>
          <w:tcPr>
            <w:tcW w:w="2454" w:type="dxa"/>
          </w:tcPr>
          <w:p w:rsidR="00B23A40" w:rsidRDefault="00B23A40">
            <w:pPr>
              <w:spacing w:line="360" w:lineRule="auto"/>
              <w:rPr>
                <w:rFonts w:ascii="仿宋" w:eastAsia="仿宋" w:hAnsi="仿宋"/>
                <w:color w:val="000000"/>
              </w:rPr>
            </w:pPr>
          </w:p>
        </w:tc>
        <w:tc>
          <w:tcPr>
            <w:tcW w:w="2507" w:type="dxa"/>
          </w:tcPr>
          <w:p w:rsidR="00B23A40" w:rsidRDefault="00DD1A0D">
            <w:pPr>
              <w:spacing w:line="360" w:lineRule="auto"/>
              <w:rPr>
                <w:rFonts w:ascii="仿宋" w:eastAsia="仿宋" w:hAnsi="仿宋"/>
                <w:color w:val="000000"/>
              </w:rPr>
            </w:pPr>
            <w:r>
              <w:rPr>
                <w:rFonts w:ascii="仿宋" w:eastAsia="仿宋" w:hAnsi="仿宋"/>
                <w:color w:val="000000"/>
              </w:rPr>
              <w:t>索拉非尼</w:t>
            </w:r>
          </w:p>
        </w:tc>
      </w:tr>
      <w:tr w:rsidR="00B23A40">
        <w:tc>
          <w:tcPr>
            <w:tcW w:w="2693" w:type="dxa"/>
          </w:tcPr>
          <w:p w:rsidR="00B23A40" w:rsidRDefault="00DD1A0D">
            <w:pPr>
              <w:spacing w:line="360" w:lineRule="auto"/>
              <w:jc w:val="left"/>
              <w:rPr>
                <w:rFonts w:ascii="仿宋" w:eastAsia="仿宋" w:hAnsi="仿宋"/>
                <w:color w:val="000000"/>
              </w:rPr>
            </w:pPr>
            <w:r>
              <w:rPr>
                <w:rFonts w:ascii="仿宋" w:eastAsia="仿宋" w:hAnsi="仿宋" w:hint="eastAsia"/>
                <w:color w:val="000000"/>
              </w:rPr>
              <w:t>卵巢癌</w:t>
            </w:r>
          </w:p>
        </w:tc>
        <w:tc>
          <w:tcPr>
            <w:tcW w:w="2454" w:type="dxa"/>
          </w:tcPr>
          <w:p w:rsidR="00B23A40" w:rsidRDefault="00B23A40">
            <w:pPr>
              <w:spacing w:line="360" w:lineRule="auto"/>
              <w:rPr>
                <w:rFonts w:ascii="仿宋" w:eastAsia="仿宋" w:hAnsi="仿宋"/>
                <w:color w:val="000000"/>
              </w:rPr>
            </w:pPr>
          </w:p>
        </w:tc>
        <w:tc>
          <w:tcPr>
            <w:tcW w:w="2507" w:type="dxa"/>
          </w:tcPr>
          <w:p w:rsidR="00B23A40" w:rsidRDefault="00DD1A0D">
            <w:pPr>
              <w:spacing w:line="360" w:lineRule="auto"/>
              <w:rPr>
                <w:rFonts w:ascii="仿宋" w:eastAsia="仿宋" w:hAnsi="仿宋"/>
                <w:color w:val="000000"/>
              </w:rPr>
            </w:pPr>
            <w:r>
              <w:rPr>
                <w:rFonts w:ascii="仿宋" w:eastAsia="仿宋" w:hAnsi="仿宋" w:hint="eastAsia"/>
                <w:color w:val="000000"/>
              </w:rPr>
              <w:t>奥拉帕利</w:t>
            </w:r>
          </w:p>
        </w:tc>
      </w:tr>
    </w:tbl>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对于有明确靶点的药物，须遵循靶点检测后方可使用的原则。检测所用的仪器设备、诊断试剂和检测方法应当经过国家药品监督管理部门批准，特别是经过伴随诊断验证的方法。不得在未做相关检查的情况下盲目用药。</w:t>
      </w:r>
    </w:p>
    <w:p w:rsidR="00B23A40" w:rsidRDefault="00DD1A0D">
      <w:p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三、严格遵循适应证用药</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抗肿瘤药物的药品说明书是抗肿瘤药物临床应用的法定依据，其规定的适应证经过了国家药品监督管理部门批准。抗肿瘤药物临床应用须遵循药品说明书，不能随意超适应证使用。相关药品的生产厂商，在拥有新的高级别循证医学证据的情况下，应当主动向国家药品监督管理部门申报，及时更新相应药品说明书，保证药品说明书的科学性、权威性，有效指导临床用药。特别是有条件快速批准上市的药品，更应当保证药品说明书的时效性。</w:t>
      </w:r>
    </w:p>
    <w:p w:rsidR="00B23A40" w:rsidRDefault="00DD1A0D">
      <w:p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四、体现患者治疗价值</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现代临床肿瘤学高度重视恶性肿瘤患者的治疗价值。其</w:t>
      </w:r>
      <w:r>
        <w:rPr>
          <w:rFonts w:ascii="仿宋" w:eastAsia="仿宋" w:hAnsi="仿宋" w:cs="仿宋" w:hint="eastAsia"/>
          <w:sz w:val="32"/>
          <w:szCs w:val="32"/>
        </w:rPr>
        <w:lastRenderedPageBreak/>
        <w:t>核心思想是，在相同治疗成本前提下，使患者获得更长的生存时间和更好的生活质量。在抗肿瘤药物临床应用中，应当充分考虑抗肿瘤药物的效价比，优先选择有药物经济学评价和效价比高的药品。</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根据药物适应证、药物可及性和肿瘤治疗价值，将抗肿瘤药物分成两级。</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普通使用级：有明确的临床使用适应证、已列入《国家基本药物目录》《国家基本医疗保险药品目录》和国家谈判药品的抗肿瘤药物品种。</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限制使用级：有明确的临床使用适应证、未列入《国家基本药物目录》或《国家基本医疗保险药品目录》或国家谈判药品的抗肿瘤药物品种。</w:t>
      </w:r>
    </w:p>
    <w:p w:rsidR="00B23A40" w:rsidRDefault="00DD1A0D">
      <w:p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五、特殊情况下的药物合理使用</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随着癌症治疗临床实践的快速发展，目前上市的抗肿瘤药物尚不能完全满足肿瘤患者的用药需求，药品说明书也往往滞后于临床实践，一些具有高级别循证医学证据的用法未能及时在药品说明书中明确规定。在尚无更好治疗手段等特殊情况下，医疗机构应当制定相应管理制度、技术规范，对药品说明书中未明确、但具有循证医学证据的药品用法进行严格管理。特殊情况下抗肿瘤药物的使用应当仅限于三级医院授权的具有高级专业技术职称的医师，充分遵循患者知情同意原则，并且应当做好用药监测和跟踪观察。</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lastRenderedPageBreak/>
        <w:t>特殊情况下抗肿瘤药物使用采纳根据，依次是：其他国家或地区药品说明书中已注明的用法，国际权威学协会或组织发布的诊疗规范、指南，国家级学协会发布的经国家卫生健康委员会认可的诊疗规范、指南。</w:t>
      </w:r>
    </w:p>
    <w:p w:rsidR="00B23A40" w:rsidRDefault="00DD1A0D">
      <w:p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六、重视药物相关性不良反应</w:t>
      </w:r>
    </w:p>
    <w:p w:rsidR="00B23A40" w:rsidRDefault="00DD1A0D">
      <w:pPr>
        <w:spacing w:line="360" w:lineRule="auto"/>
        <w:ind w:firstLineChars="200" w:firstLine="640"/>
        <w:jc w:val="left"/>
        <w:rPr>
          <w:rFonts w:ascii="仿宋" w:eastAsia="仿宋" w:hAnsi="仿宋" w:cs="Times New Roman"/>
          <w:sz w:val="32"/>
          <w:szCs w:val="32"/>
        </w:rPr>
      </w:pPr>
      <w:r>
        <w:rPr>
          <w:rFonts w:ascii="仿宋" w:eastAsia="仿宋" w:hAnsi="仿宋" w:cs="仿宋" w:hint="eastAsia"/>
          <w:sz w:val="32"/>
          <w:szCs w:val="32"/>
        </w:rPr>
        <w:t>抗肿瘤药物的相关性毒副作用发生率较高，也容易产生罕见的毒副作用，因此抗肿瘤药物不良反应报告尤为重要。医疗机构应当建立药品不良反应、药品损害事件监测报告制度，并按照国家有关规定向相关部门报告。医疗机构应当将抗肿瘤药物不良反应报告纳入医疗质量考核体系，定期分析和报告抗肿瘤药物不良反应的动态和趋势。临床医师和临床药师应当密切随访患者的用药相关毒性，并及时上报不良反应，尤其是严重的和新发现的不良反应。</w:t>
      </w:r>
    </w:p>
    <w:p w:rsidR="00B23A40" w:rsidRDefault="00B23A40">
      <w:pPr>
        <w:spacing w:line="360" w:lineRule="auto"/>
        <w:rPr>
          <w:rFonts w:ascii="仿宋" w:eastAsia="仿宋" w:hAnsi="仿宋" w:cs="Times New Roman"/>
          <w:sz w:val="32"/>
          <w:szCs w:val="32"/>
        </w:rPr>
      </w:pPr>
    </w:p>
    <w:p w:rsidR="00B23A40" w:rsidRDefault="00DD1A0D">
      <w:pPr>
        <w:spacing w:line="360" w:lineRule="auto"/>
        <w:jc w:val="center"/>
        <w:rPr>
          <w:rFonts w:ascii="宋体" w:cs="Times New Roman"/>
          <w:b/>
          <w:bCs/>
          <w:sz w:val="44"/>
          <w:szCs w:val="44"/>
        </w:rPr>
      </w:pPr>
      <w:r>
        <w:rPr>
          <w:rFonts w:ascii="宋体" w:hAnsi="宋体" w:cs="宋体" w:hint="eastAsia"/>
          <w:b/>
          <w:bCs/>
          <w:sz w:val="44"/>
          <w:szCs w:val="44"/>
        </w:rPr>
        <w:t>抗肿瘤药物临床应用管理</w:t>
      </w:r>
    </w:p>
    <w:p w:rsidR="00B23A40" w:rsidRDefault="00B23A40">
      <w:pPr>
        <w:spacing w:line="360" w:lineRule="auto"/>
        <w:ind w:firstLineChars="200" w:firstLine="643"/>
        <w:jc w:val="center"/>
        <w:rPr>
          <w:rFonts w:ascii="宋体" w:cs="Times New Roman"/>
          <w:b/>
          <w:bCs/>
          <w:sz w:val="32"/>
          <w:szCs w:val="32"/>
        </w:rPr>
      </w:pP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抗肿瘤药物临床应用管理的宗旨，是通过科学化、规范化、常态化的管理，促进抗肿瘤药物合理使用，达到安全、有效、经济治疗肿瘤疾病的目的。</w:t>
      </w:r>
    </w:p>
    <w:p w:rsidR="00B23A40" w:rsidRDefault="00DD1A0D">
      <w:p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一、医疗机构建立抗肿瘤药物临床应用管理体系</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各级医疗机构应当建立抗肿瘤药物临床应用管理体系，制定符合本机构实际情况的抗肿瘤药物临床应用管理制度，</w:t>
      </w:r>
      <w:r>
        <w:rPr>
          <w:rFonts w:ascii="仿宋" w:eastAsia="仿宋" w:hAnsi="仿宋" w:cs="仿宋" w:hint="eastAsia"/>
          <w:sz w:val="32"/>
          <w:szCs w:val="32"/>
        </w:rPr>
        <w:lastRenderedPageBreak/>
        <w:t>明确医疗机构负责人和各职能部门、临床科室负责人在抗肿瘤药物临床应用管理中的责任，并将其纳入医院评审评价、科室管理和医疗质量评估的考核指标，确保抗肿瘤药物临床应用管理得到有效实施。</w:t>
      </w:r>
    </w:p>
    <w:p w:rsidR="00B23A40" w:rsidRDefault="00DD1A0D">
      <w:pPr>
        <w:spacing w:line="360" w:lineRule="auto"/>
        <w:ind w:firstLineChars="200" w:firstLine="640"/>
        <w:rPr>
          <w:rFonts w:ascii="楷体" w:eastAsia="楷体" w:hAnsi="楷体" w:cs="Times New Roman"/>
          <w:sz w:val="32"/>
          <w:szCs w:val="32"/>
        </w:rPr>
      </w:pPr>
      <w:r>
        <w:rPr>
          <w:rFonts w:ascii="楷体" w:eastAsia="楷体" w:hAnsi="楷体" w:cs="楷体" w:hint="eastAsia"/>
          <w:sz w:val="32"/>
          <w:szCs w:val="32"/>
        </w:rPr>
        <w:t>（一）设立抗肿瘤药物管理工作组。</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医疗机构应当在药事管理与药物治疗学委员会下设立抗肿瘤药物管理工作组，工作组成员包括医务、药学、临床科室、病理、信息管理、护理等负责人，共同管理本机构的抗肿瘤药物临床应用。</w:t>
      </w:r>
    </w:p>
    <w:p w:rsidR="00B23A40" w:rsidRDefault="00DD1A0D">
      <w:pPr>
        <w:spacing w:line="360" w:lineRule="auto"/>
        <w:ind w:firstLineChars="200" w:firstLine="640"/>
        <w:rPr>
          <w:rFonts w:ascii="楷体" w:eastAsia="楷体" w:hAnsi="楷体" w:cs="Times New Roman"/>
          <w:sz w:val="32"/>
          <w:szCs w:val="32"/>
        </w:rPr>
      </w:pPr>
      <w:r>
        <w:rPr>
          <w:rFonts w:ascii="楷体" w:eastAsia="楷体" w:hAnsi="楷体" w:cs="楷体" w:hint="eastAsia"/>
          <w:sz w:val="32"/>
          <w:szCs w:val="32"/>
        </w:rPr>
        <w:t>（二）组建抗肿瘤药物临床应用管理专业技术团队。</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医疗机构应当组建包括肿瘤内科、肿瘤外科、放射治疗、病理学、临床药学、影像学、检验、护理、质控等相关专业人员组成的专业技术团队，</w:t>
      </w:r>
      <w:r>
        <w:rPr>
          <w:rFonts w:ascii="仿宋" w:eastAsia="仿宋" w:hAnsi="仿宋" w:hint="eastAsia"/>
          <w:sz w:val="32"/>
          <w:szCs w:val="32"/>
        </w:rPr>
        <w:t>定期召开抗肿瘤药物使用MDT会议，评价分析并通报某类或某癌种抗肿瘤药物使用的合理性，</w:t>
      </w:r>
      <w:r>
        <w:rPr>
          <w:rFonts w:ascii="仿宋" w:eastAsia="仿宋" w:hAnsi="仿宋" w:cs="仿宋" w:hint="eastAsia"/>
          <w:sz w:val="32"/>
          <w:szCs w:val="32"/>
        </w:rPr>
        <w:t>为抗肿瘤药物临床应用管理提供专业技术支持，对临床科室抗肿瘤药物临床应用进行技术指导和咨询，为医务人员和下级医疗机构提供抗肿瘤药物临床应用相关专业培训。应开展抗肿瘤药物使用和不良反应处理的患者教育项目。不具备条件的医疗机构应当与上级医院合作，通过聘请兼职肿瘤专业医师，共享病理组织诊断、分子病理诊断平台等措施，以弥补抗肿瘤药物临床应用管理专业技术力量的不足。</w:t>
      </w:r>
    </w:p>
    <w:p w:rsidR="00B23A40" w:rsidRDefault="00DD1A0D">
      <w:pPr>
        <w:spacing w:line="360" w:lineRule="auto"/>
        <w:ind w:firstLineChars="200" w:firstLine="640"/>
        <w:rPr>
          <w:rFonts w:ascii="楷体" w:eastAsia="楷体" w:hAnsi="楷体" w:cs="Times New Roman"/>
          <w:sz w:val="32"/>
          <w:szCs w:val="32"/>
        </w:rPr>
      </w:pPr>
      <w:r>
        <w:rPr>
          <w:rFonts w:ascii="楷体" w:eastAsia="楷体" w:hAnsi="楷体" w:cs="楷体" w:hint="eastAsia"/>
          <w:sz w:val="32"/>
          <w:szCs w:val="32"/>
        </w:rPr>
        <w:t>（三）制定抗肿瘤药物供应目录和处方集。</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lastRenderedPageBreak/>
        <w:t>医疗机构应当按照本指导原则的要求，确定抗肿瘤药物供应目录的品种、品规数量。抗肿瘤药物购用品种遴选应当以确保临床合理需要为目标，优先选择《国家基本药物目录》、国家谈判品种、高级别循证医学证据多以及权威指南推荐的品种。应当对抗肿瘤药物供应目录定期评估，及时清退存在安全隐患、性价比差和违规使用情况频发的品种或品规。临时采购抗肿瘤药物供应目录之外品种应有充分理由，并按相关制度和程序备案。</w:t>
      </w:r>
    </w:p>
    <w:p w:rsidR="00B23A40" w:rsidRDefault="00DD1A0D">
      <w:pPr>
        <w:spacing w:line="360" w:lineRule="auto"/>
        <w:ind w:firstLineChars="200" w:firstLine="640"/>
        <w:rPr>
          <w:rFonts w:ascii="楷体" w:eastAsia="楷体" w:hAnsi="楷体" w:cs="Times New Roman"/>
          <w:sz w:val="32"/>
          <w:szCs w:val="32"/>
        </w:rPr>
      </w:pPr>
      <w:r>
        <w:rPr>
          <w:rFonts w:ascii="楷体" w:eastAsia="楷体" w:hAnsi="楷体" w:cs="楷体" w:hint="eastAsia"/>
          <w:sz w:val="32"/>
          <w:szCs w:val="32"/>
        </w:rPr>
        <w:t>（四）抗肿瘤药物临床应用监测。</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医疗机构应当定期对抗肿瘤药物临床应用基本情况进行监测。院、科两级定期进行监测的项目包括：（</w:t>
      </w:r>
      <w:r>
        <w:rPr>
          <w:rFonts w:ascii="仿宋" w:eastAsia="仿宋" w:hAnsi="仿宋" w:cs="仿宋"/>
          <w:sz w:val="32"/>
          <w:szCs w:val="32"/>
        </w:rPr>
        <w:t>1</w:t>
      </w:r>
      <w:r>
        <w:rPr>
          <w:rFonts w:ascii="仿宋" w:eastAsia="仿宋" w:hAnsi="仿宋" w:cs="仿宋" w:hint="eastAsia"/>
          <w:sz w:val="32"/>
          <w:szCs w:val="32"/>
        </w:rPr>
        <w:t>）住院患者抗肿瘤药物使用率和限制使用级抗肿瘤药物使用率。（</w:t>
      </w:r>
      <w:r>
        <w:rPr>
          <w:rFonts w:ascii="仿宋" w:eastAsia="仿宋" w:hAnsi="仿宋" w:cs="仿宋"/>
          <w:sz w:val="32"/>
          <w:szCs w:val="32"/>
        </w:rPr>
        <w:t>2</w:t>
      </w:r>
      <w:r>
        <w:rPr>
          <w:rFonts w:ascii="仿宋" w:eastAsia="仿宋" w:hAnsi="仿宋" w:cs="仿宋" w:hint="eastAsia"/>
          <w:sz w:val="32"/>
          <w:szCs w:val="32"/>
        </w:rPr>
        <w:t>）抗肿瘤药物不良反应报告率。（</w:t>
      </w:r>
      <w:r>
        <w:rPr>
          <w:rFonts w:ascii="仿宋" w:eastAsia="仿宋" w:hAnsi="仿宋" w:cs="仿宋"/>
          <w:sz w:val="32"/>
          <w:szCs w:val="32"/>
        </w:rPr>
        <w:t>3</w:t>
      </w:r>
      <w:r>
        <w:rPr>
          <w:rFonts w:ascii="仿宋" w:eastAsia="仿宋" w:hAnsi="仿宋" w:cs="仿宋" w:hint="eastAsia"/>
          <w:sz w:val="32"/>
          <w:szCs w:val="32"/>
        </w:rPr>
        <w:t>）抗肿瘤药物品种、剂型、规格、使用量、使用金额，抗肿瘤药物占药品总费用的比例。（</w:t>
      </w:r>
      <w:r>
        <w:rPr>
          <w:rFonts w:ascii="仿宋" w:eastAsia="仿宋" w:hAnsi="仿宋" w:cs="仿宋"/>
          <w:sz w:val="32"/>
          <w:szCs w:val="32"/>
        </w:rPr>
        <w:t>4</w:t>
      </w:r>
      <w:r>
        <w:rPr>
          <w:rFonts w:ascii="仿宋" w:eastAsia="仿宋" w:hAnsi="仿宋" w:cs="仿宋" w:hint="eastAsia"/>
          <w:sz w:val="32"/>
          <w:szCs w:val="32"/>
        </w:rPr>
        <w:t>）分级管理制度的执行情况。（</w:t>
      </w:r>
      <w:r>
        <w:rPr>
          <w:rFonts w:ascii="仿宋" w:eastAsia="仿宋" w:hAnsi="仿宋" w:cs="仿宋"/>
          <w:sz w:val="32"/>
          <w:szCs w:val="32"/>
        </w:rPr>
        <w:t>5</w:t>
      </w:r>
      <w:r>
        <w:rPr>
          <w:rFonts w:ascii="仿宋" w:eastAsia="仿宋" w:hAnsi="仿宋" w:cs="仿宋" w:hint="eastAsia"/>
          <w:sz w:val="32"/>
          <w:szCs w:val="32"/>
        </w:rPr>
        <w:t>）临床医师和临床药师抗肿瘤药物使用合理性评价。</w:t>
      </w:r>
    </w:p>
    <w:p w:rsidR="00B23A40" w:rsidRDefault="00DD1A0D">
      <w:pPr>
        <w:spacing w:line="360" w:lineRule="auto"/>
        <w:ind w:firstLineChars="200" w:firstLine="640"/>
        <w:rPr>
          <w:rFonts w:ascii="楷体" w:eastAsia="楷体" w:hAnsi="楷体" w:cs="Times New Roman"/>
          <w:sz w:val="32"/>
          <w:szCs w:val="32"/>
        </w:rPr>
      </w:pPr>
      <w:r>
        <w:rPr>
          <w:rFonts w:ascii="楷体" w:eastAsia="楷体" w:hAnsi="楷体" w:cs="楷体" w:hint="eastAsia"/>
          <w:sz w:val="32"/>
          <w:szCs w:val="32"/>
        </w:rPr>
        <w:t>（五）信息化管理。</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医疗机构应当充分利用信息化管理手段，通过信息技术对抗肿瘤药物临床应用进行科学化管理，具体体现在以下几方面。</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抗肿瘤药物管理制度、临床诊疗指南、监测数据等相关信息的发布。</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lastRenderedPageBreak/>
        <w:t>2.</w:t>
      </w:r>
      <w:r>
        <w:rPr>
          <w:rFonts w:ascii="仿宋" w:eastAsia="仿宋" w:hAnsi="仿宋" w:cs="仿宋" w:hint="eastAsia"/>
          <w:sz w:val="32"/>
          <w:szCs w:val="32"/>
        </w:rPr>
        <w:t>抗肿瘤药物合理应用与管理的网络培训与考核。</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实行医师抗肿瘤药物处方权限和药师抗肿瘤药物处方调剂资格管理。</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对处方医师提供科学的实时更新的药品信息。</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5.</w:t>
      </w:r>
      <w:r>
        <w:rPr>
          <w:rFonts w:ascii="仿宋" w:eastAsia="仿宋" w:hAnsi="仿宋" w:cs="仿宋" w:hint="eastAsia"/>
          <w:sz w:val="32"/>
          <w:szCs w:val="32"/>
        </w:rPr>
        <w:t>通过实施电子处方系统，整合患者病史、病理组织学和分子病理学结果报告、实验室辅助检查结果、药物处方信息和临床诊治指南等形成电子化抗肿瘤药物处方系统，按照《处方管理办法》和《医疗机构处方审核规范》加强对处方、医嘱的审核，促进临床合理用药。</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6.</w:t>
      </w:r>
      <w:r>
        <w:rPr>
          <w:rFonts w:ascii="仿宋" w:eastAsia="仿宋" w:hAnsi="仿宋" w:cs="仿宋" w:hint="eastAsia"/>
          <w:sz w:val="32"/>
          <w:szCs w:val="32"/>
        </w:rPr>
        <w:t>加强医嘱管理，实现抗肿瘤药物临床应用全过程控制和监测，做到抗肿瘤药物处方开具和执行的动态监测。</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7.</w:t>
      </w:r>
      <w:r>
        <w:rPr>
          <w:rFonts w:ascii="仿宋" w:eastAsia="仿宋" w:hAnsi="仿宋" w:cs="仿宋" w:hint="eastAsia"/>
          <w:sz w:val="32"/>
          <w:szCs w:val="32"/>
        </w:rPr>
        <w:t>实现院、科两级抗肿瘤药物使用率、使用情况、不良反应报告率等指标信息化手段实时统计、分析、评估和预警。</w:t>
      </w:r>
    </w:p>
    <w:p w:rsidR="00B23A40" w:rsidRDefault="00DD1A0D">
      <w:p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二、抗肿瘤药物临床应用实行分级管理</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抗肿瘤药物临床应用的分级管理是抗肿瘤药物管理的核心策略，有助于减少抗肿瘤药物过度使用或使用不足。医疗机构应当建立健全抗肿瘤药物临床应用分级管理制度，按照“普通使用级”和“限制使用级”的分级原则，明确各级抗肿瘤药物临床应用的指征，落实各级医师应用抗肿瘤药物的处方权限。</w:t>
      </w:r>
    </w:p>
    <w:p w:rsidR="00B23A40" w:rsidRDefault="00DD1A0D">
      <w:pPr>
        <w:spacing w:line="360" w:lineRule="auto"/>
        <w:ind w:firstLineChars="200" w:firstLine="640"/>
        <w:rPr>
          <w:rFonts w:ascii="楷体" w:eastAsia="楷体" w:hAnsi="楷体" w:cs="Times New Roman"/>
          <w:sz w:val="32"/>
          <w:szCs w:val="32"/>
        </w:rPr>
      </w:pPr>
      <w:r>
        <w:rPr>
          <w:rFonts w:ascii="楷体" w:eastAsia="楷体" w:hAnsi="楷体" w:cs="楷体" w:hint="eastAsia"/>
          <w:sz w:val="32"/>
          <w:szCs w:val="32"/>
        </w:rPr>
        <w:t>（一）抗肿瘤药物分级原则。</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根据药物适应证、药物可及性和肿瘤治疗价值，将抗肿</w:t>
      </w:r>
      <w:r>
        <w:rPr>
          <w:rFonts w:ascii="仿宋" w:eastAsia="仿宋" w:hAnsi="仿宋" w:cs="仿宋" w:hint="eastAsia"/>
          <w:sz w:val="32"/>
          <w:szCs w:val="32"/>
        </w:rPr>
        <w:lastRenderedPageBreak/>
        <w:t>瘤药物分为两级，即普通使用级和限制使用级。各医疗机构应当将抗肿瘤药物分级管理纳入医疗质量考核体系中。</w:t>
      </w:r>
    </w:p>
    <w:p w:rsidR="00B23A40" w:rsidRDefault="00DD1A0D">
      <w:pPr>
        <w:spacing w:line="360" w:lineRule="auto"/>
        <w:ind w:firstLineChars="200" w:firstLine="640"/>
        <w:rPr>
          <w:rFonts w:ascii="楷体" w:eastAsia="楷体" w:hAnsi="楷体" w:cs="Times New Roman"/>
          <w:sz w:val="32"/>
          <w:szCs w:val="32"/>
        </w:rPr>
      </w:pPr>
      <w:r>
        <w:rPr>
          <w:rFonts w:ascii="楷体" w:eastAsia="楷体" w:hAnsi="楷体" w:cs="楷体" w:hint="eastAsia"/>
          <w:sz w:val="32"/>
          <w:szCs w:val="32"/>
        </w:rPr>
        <w:t>（二）处方权限与临床应用。</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根据本指导原则，二级以上医院按年度对医师和药师进行抗肿瘤药物临床应用知识和规范化管理的培训，按专业技术职称授予医师相应处方权和药师肿瘤药物处方调剂资格。如，初级和中级职称的医师具有普通使用级抗肿瘤药物的处方权，副高及以上职称的医师具有限制使用级抗肿瘤药物的处方权。</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限制使用级抗肿瘤药物的临床应用应当加以控制。临床应用限制使用级抗肿瘤药物应当严格掌握用药指征，由具有相应处方权医师开具处方，同时，由具有抗肿瘤药物临床应用经验、具备高级专业技术职称任职资格的抗肿瘤药物临床合理应用专家组审核后使用，抗肿瘤药物临床合理应用专家组可由肿瘤专科医师、抗肿瘤专业临床药师、病理医师等组成。如特殊情况下越级使用了限制使用级抗肿瘤药物，需在</w:t>
      </w:r>
      <w:r>
        <w:rPr>
          <w:rFonts w:ascii="仿宋" w:eastAsia="仿宋" w:hAnsi="仿宋" w:cs="仿宋"/>
          <w:sz w:val="32"/>
          <w:szCs w:val="32"/>
        </w:rPr>
        <w:t>24</w:t>
      </w:r>
      <w:r>
        <w:rPr>
          <w:rFonts w:ascii="仿宋" w:eastAsia="仿宋" w:hAnsi="仿宋" w:cs="仿宋" w:hint="eastAsia"/>
          <w:sz w:val="32"/>
          <w:szCs w:val="32"/>
        </w:rPr>
        <w:t>小时内进行补办手续，并由具备高级专业技术职称任职资格的医师审核。</w:t>
      </w:r>
    </w:p>
    <w:p w:rsidR="00B23A40" w:rsidRDefault="00DD1A0D">
      <w:p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三、细胞或组织病理学诊断</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在没有获得细胞或组织病理学诊断之前，医师不能开具抗肿瘤药物进行治疗，应当根据细胞或组织病理学结果合理选用抗肿瘤药物。因此，需要重视加强病理科和相关科室建</w:t>
      </w:r>
      <w:r>
        <w:rPr>
          <w:rFonts w:ascii="仿宋" w:eastAsia="仿宋" w:hAnsi="仿宋" w:cs="仿宋" w:hint="eastAsia"/>
          <w:sz w:val="32"/>
          <w:szCs w:val="32"/>
        </w:rPr>
        <w:lastRenderedPageBreak/>
        <w:t>设，提高细胞或组织病理学诊断能力、效率和准确性，促进目标治疗、减少经验治疗，以达到肿瘤精准治疗的目的。从事病理组织学和分子病理学诊断的科室，应当具备以下条件：（</w:t>
      </w:r>
      <w:r>
        <w:rPr>
          <w:rFonts w:ascii="仿宋" w:eastAsia="仿宋" w:hAnsi="仿宋" w:cs="仿宋"/>
          <w:sz w:val="32"/>
          <w:szCs w:val="32"/>
        </w:rPr>
        <w:t>1</w:t>
      </w:r>
      <w:r>
        <w:rPr>
          <w:rFonts w:ascii="仿宋" w:eastAsia="仿宋" w:hAnsi="仿宋" w:cs="仿宋" w:hint="eastAsia"/>
          <w:sz w:val="32"/>
          <w:szCs w:val="32"/>
        </w:rPr>
        <w:t>）检测项目涵盖病理形态学诊断、免疫组化（</w:t>
      </w:r>
      <w:r>
        <w:rPr>
          <w:rFonts w:ascii="仿宋" w:eastAsia="仿宋" w:hAnsi="仿宋" w:cs="仿宋"/>
          <w:sz w:val="32"/>
          <w:szCs w:val="32"/>
        </w:rPr>
        <w:t>IHC</w:t>
      </w:r>
      <w:r>
        <w:rPr>
          <w:rFonts w:ascii="仿宋" w:eastAsia="仿宋" w:hAnsi="仿宋" w:cs="仿宋" w:hint="eastAsia"/>
          <w:sz w:val="32"/>
          <w:szCs w:val="32"/>
        </w:rPr>
        <w:t>）、</w:t>
      </w:r>
      <w:r>
        <w:rPr>
          <w:rFonts w:ascii="仿宋" w:eastAsia="仿宋" w:hAnsi="仿宋" w:cs="仿宋"/>
          <w:sz w:val="32"/>
          <w:szCs w:val="32"/>
        </w:rPr>
        <w:t>RT-PCR</w:t>
      </w:r>
      <w:r>
        <w:rPr>
          <w:rFonts w:ascii="仿宋" w:eastAsia="仿宋" w:hAnsi="仿宋" w:cs="仿宋" w:hint="eastAsia"/>
          <w:sz w:val="32"/>
          <w:szCs w:val="32"/>
        </w:rPr>
        <w:t>、</w:t>
      </w:r>
      <w:r>
        <w:rPr>
          <w:rFonts w:ascii="仿宋" w:eastAsia="仿宋" w:hAnsi="仿宋" w:cs="仿宋"/>
          <w:sz w:val="32"/>
          <w:szCs w:val="32"/>
        </w:rPr>
        <w:t>FISH</w:t>
      </w:r>
      <w:r>
        <w:rPr>
          <w:rFonts w:ascii="仿宋" w:eastAsia="仿宋" w:hAnsi="仿宋" w:cs="仿宋" w:hint="eastAsia"/>
          <w:sz w:val="32"/>
          <w:szCs w:val="32"/>
        </w:rPr>
        <w:t>等，有条件的可开展高通量基因测序。（</w:t>
      </w:r>
      <w:r>
        <w:rPr>
          <w:rFonts w:ascii="仿宋" w:eastAsia="仿宋" w:hAnsi="仿宋" w:cs="仿宋"/>
          <w:sz w:val="32"/>
          <w:szCs w:val="32"/>
        </w:rPr>
        <w:t>2</w:t>
      </w:r>
      <w:r>
        <w:rPr>
          <w:rFonts w:ascii="仿宋" w:eastAsia="仿宋" w:hAnsi="仿宋" w:cs="仿宋" w:hint="eastAsia"/>
          <w:sz w:val="32"/>
          <w:szCs w:val="32"/>
        </w:rPr>
        <w:t>）配备相应设备及专业技术人员。（</w:t>
      </w:r>
      <w:r>
        <w:rPr>
          <w:rFonts w:ascii="仿宋" w:eastAsia="仿宋" w:hAnsi="仿宋" w:cs="仿宋"/>
          <w:sz w:val="32"/>
          <w:szCs w:val="32"/>
        </w:rPr>
        <w:t>3</w:t>
      </w:r>
      <w:r>
        <w:rPr>
          <w:rFonts w:ascii="仿宋" w:eastAsia="仿宋" w:hAnsi="仿宋" w:cs="仿宋" w:hint="eastAsia"/>
          <w:sz w:val="32"/>
          <w:szCs w:val="32"/>
        </w:rPr>
        <w:t>）制定细胞或组织病理学诊断各环节的质量控制流程规范。（</w:t>
      </w:r>
      <w:r>
        <w:rPr>
          <w:rFonts w:ascii="仿宋" w:eastAsia="仿宋" w:hAnsi="仿宋" w:cs="仿宋"/>
          <w:sz w:val="32"/>
          <w:szCs w:val="32"/>
        </w:rPr>
        <w:t>4</w:t>
      </w:r>
      <w:r>
        <w:rPr>
          <w:rFonts w:ascii="仿宋" w:eastAsia="仿宋" w:hAnsi="仿宋" w:cs="仿宋" w:hint="eastAsia"/>
          <w:sz w:val="32"/>
          <w:szCs w:val="32"/>
        </w:rPr>
        <w:t>）使用国家药品监督管理局批准的仪器设备和诊断试剂。（</w:t>
      </w:r>
      <w:r>
        <w:rPr>
          <w:rFonts w:ascii="仿宋" w:eastAsia="仿宋" w:hAnsi="仿宋" w:cs="仿宋"/>
          <w:sz w:val="32"/>
          <w:szCs w:val="32"/>
        </w:rPr>
        <w:t>5</w:t>
      </w:r>
      <w:r>
        <w:rPr>
          <w:rFonts w:ascii="仿宋" w:eastAsia="仿宋" w:hAnsi="仿宋" w:cs="仿宋" w:hint="eastAsia"/>
          <w:sz w:val="32"/>
          <w:szCs w:val="32"/>
        </w:rPr>
        <w:t>）加强临床实验室室内质量控制，定期参加国家或省级临床检验中心组织的室间质量评价。</w:t>
      </w:r>
    </w:p>
    <w:p w:rsidR="00B23A40" w:rsidRDefault="00DD1A0D">
      <w:p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四、培训、评估和督查</w:t>
      </w:r>
    </w:p>
    <w:p w:rsidR="00B23A40" w:rsidRDefault="00DD1A0D">
      <w:pPr>
        <w:spacing w:line="360" w:lineRule="auto"/>
        <w:ind w:firstLineChars="200" w:firstLine="640"/>
        <w:rPr>
          <w:rFonts w:ascii="楷体" w:eastAsia="楷体" w:hAnsi="楷体" w:cs="Times New Roman"/>
          <w:sz w:val="32"/>
          <w:szCs w:val="32"/>
        </w:rPr>
      </w:pPr>
      <w:r>
        <w:rPr>
          <w:rFonts w:ascii="楷体" w:eastAsia="楷体" w:hAnsi="楷体" w:cs="楷体" w:hint="eastAsia"/>
          <w:sz w:val="32"/>
          <w:szCs w:val="32"/>
        </w:rPr>
        <w:t>（一）加强各级人员抗肿瘤药物临床应用和管理培训。</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医疗机构应当强化对医师、药师等相关人员的培训，提倡遵循本指导原则和基于循证医学证据的恶性肿瘤诊治指南，严格掌握抗肿瘤药物应用的适应证，减少经验治疗，尽量做到精准治疗以确保抗肿瘤药物应用适应证、品种选择、给药途径、剂量和疗程对患者是适宜的。</w:t>
      </w:r>
    </w:p>
    <w:p w:rsidR="00B23A40" w:rsidRDefault="00DD1A0D">
      <w:pPr>
        <w:spacing w:line="360" w:lineRule="auto"/>
        <w:ind w:firstLineChars="200" w:firstLine="640"/>
        <w:rPr>
          <w:rFonts w:ascii="楷体" w:eastAsia="楷体" w:hAnsi="楷体" w:cs="Times New Roman"/>
          <w:sz w:val="32"/>
          <w:szCs w:val="32"/>
        </w:rPr>
      </w:pPr>
      <w:r>
        <w:rPr>
          <w:rFonts w:ascii="楷体" w:eastAsia="楷体" w:hAnsi="楷体" w:cs="楷体" w:hint="eastAsia"/>
          <w:sz w:val="32"/>
          <w:szCs w:val="32"/>
        </w:rPr>
        <w:t>（二）评估抗肿瘤药物使用合理性。</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根据医疗机构实际情况及各临床科室不同专业特点，科学设定医院和科室的抗肿瘤药物临床应用控制指标，对抗肿瘤药物使用趋势进行分析。</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重视抗肿瘤药物处方、医嘱的专项点评。抗肿瘤药物管理工作组应组织肿瘤专业、病理学专业和临床药学等相关</w:t>
      </w:r>
      <w:r>
        <w:rPr>
          <w:rFonts w:ascii="仿宋" w:eastAsia="仿宋" w:hAnsi="仿宋" w:cs="仿宋" w:hint="eastAsia"/>
          <w:sz w:val="32"/>
          <w:szCs w:val="32"/>
        </w:rPr>
        <w:lastRenderedPageBreak/>
        <w:t>专业技术人员组成点评小组，结合医院实际情况设定点评目标，重点关注限制使用级抗肿瘤药物的用药、各科室抗肿瘤药物应用情况以及严重和新的不良反应报告情况。</w:t>
      </w:r>
    </w:p>
    <w:p w:rsidR="00B23A40" w:rsidRDefault="00DD1A0D">
      <w:pPr>
        <w:spacing w:line="360" w:lineRule="auto"/>
        <w:ind w:firstLineChars="200" w:firstLine="640"/>
        <w:rPr>
          <w:rFonts w:ascii="楷体" w:eastAsia="楷体" w:hAnsi="楷体" w:cs="Times New Roman"/>
          <w:sz w:val="32"/>
          <w:szCs w:val="32"/>
        </w:rPr>
      </w:pPr>
      <w:r>
        <w:rPr>
          <w:rFonts w:ascii="楷体" w:eastAsia="楷体" w:hAnsi="楷体" w:cs="楷体" w:hint="eastAsia"/>
          <w:sz w:val="32"/>
          <w:szCs w:val="32"/>
        </w:rPr>
        <w:t>（三）反馈与干预。</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根据点评结果对不合理使用抗肿瘤药物的突出问题在本机构范围内进行通报，对责任人进行约谈，对问题频发的责任人，按照有关法律法规和相关规定进行处罚。</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抗肿瘤药物管理工作组应当根据处方点评结果，研究制定具有针对性的临床用药质量管理等药事管理改进措施，并责成相关部门和科室予以落实。</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抗肿瘤药物管理工作组应当对存在问题的相关科室、个人进行重点监测以跟踪其改进情况，通过“监测</w:t>
      </w:r>
      <w:r>
        <w:rPr>
          <w:rFonts w:ascii="仿宋" w:eastAsia="仿宋" w:hAnsi="仿宋" w:cs="仿宋"/>
          <w:sz w:val="32"/>
          <w:szCs w:val="32"/>
        </w:rPr>
        <w:t>-</w:t>
      </w:r>
      <w:r>
        <w:rPr>
          <w:rFonts w:ascii="仿宋" w:eastAsia="仿宋" w:hAnsi="仿宋" w:cs="仿宋" w:hint="eastAsia"/>
          <w:sz w:val="32"/>
          <w:szCs w:val="32"/>
        </w:rPr>
        <w:t>反馈</w:t>
      </w:r>
      <w:r>
        <w:rPr>
          <w:rFonts w:ascii="仿宋" w:eastAsia="仿宋" w:hAnsi="仿宋" w:cs="仿宋"/>
          <w:sz w:val="32"/>
          <w:szCs w:val="32"/>
        </w:rPr>
        <w:t>-</w:t>
      </w:r>
      <w:r>
        <w:rPr>
          <w:rFonts w:ascii="仿宋" w:eastAsia="仿宋" w:hAnsi="仿宋" w:cs="仿宋" w:hint="eastAsia"/>
          <w:sz w:val="32"/>
          <w:szCs w:val="32"/>
        </w:rPr>
        <w:t>干预</w:t>
      </w:r>
      <w:r>
        <w:rPr>
          <w:rFonts w:ascii="仿宋" w:eastAsia="仿宋" w:hAnsi="仿宋" w:cs="仿宋"/>
          <w:sz w:val="32"/>
          <w:szCs w:val="32"/>
        </w:rPr>
        <w:t>-</w:t>
      </w:r>
      <w:r>
        <w:rPr>
          <w:rFonts w:ascii="仿宋" w:eastAsia="仿宋" w:hAnsi="仿宋" w:cs="仿宋" w:hint="eastAsia"/>
          <w:sz w:val="32"/>
          <w:szCs w:val="32"/>
        </w:rPr>
        <w:t>追踪”模式，促进抗肿瘤药物临床应用的持续改进。</w:t>
      </w:r>
    </w:p>
    <w:p w:rsidR="00B23A40" w:rsidRDefault="00DD1A0D">
      <w:pPr>
        <w:spacing w:line="360" w:lineRule="auto"/>
        <w:ind w:firstLineChars="200" w:firstLine="640"/>
        <w:rPr>
          <w:rFonts w:ascii="楷体" w:eastAsia="楷体" w:hAnsi="楷体" w:cs="Times New Roman"/>
          <w:sz w:val="32"/>
          <w:szCs w:val="32"/>
        </w:rPr>
      </w:pPr>
      <w:r>
        <w:rPr>
          <w:rFonts w:ascii="楷体" w:eastAsia="楷体" w:hAnsi="楷体" w:cs="楷体" w:hint="eastAsia"/>
          <w:sz w:val="32"/>
          <w:szCs w:val="32"/>
        </w:rPr>
        <w:t>（四）加强督导检查。</w:t>
      </w:r>
    </w:p>
    <w:p w:rsidR="00B23A40" w:rsidRDefault="00DD1A0D">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卫生健康行政部门应当将医疗机构抗肿瘤药物临床应用情况纳入医疗机构考核指标体系；将抗肿瘤药物临床应用情况作为医疗机构定级、评审、评价的重要指标。各级卫生健康行政部门应当建立抗肿瘤药物临床应用情况公布和诫勉谈话制度，对本行政区域内医疗机构抗肿瘤药物应用情况进行监测，定期向本行政区域进行社会公布，并报上级卫生健康行政部门备案。</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hint="eastAsia"/>
          <w:sz w:val="32"/>
          <w:szCs w:val="32"/>
        </w:rPr>
        <w:t>卫生健康行政部门可委托</w:t>
      </w:r>
      <w:r>
        <w:rPr>
          <w:rFonts w:ascii="仿宋" w:eastAsia="仿宋" w:hAnsi="仿宋"/>
          <w:sz w:val="32"/>
          <w:szCs w:val="32"/>
        </w:rPr>
        <w:t>专业组织</w:t>
      </w:r>
      <w:r>
        <w:rPr>
          <w:rFonts w:ascii="仿宋" w:eastAsia="仿宋" w:hAnsi="仿宋" w:hint="eastAsia"/>
          <w:sz w:val="32"/>
          <w:szCs w:val="32"/>
        </w:rPr>
        <w:t>组建“抗肿瘤药物临</w:t>
      </w:r>
      <w:r>
        <w:rPr>
          <w:rFonts w:ascii="仿宋" w:eastAsia="仿宋" w:hAnsi="仿宋" w:hint="eastAsia"/>
          <w:sz w:val="32"/>
          <w:szCs w:val="32"/>
        </w:rPr>
        <w:lastRenderedPageBreak/>
        <w:t>床应用管理”专家组，由肿瘤内科、肿瘤外科、放射治疗，病理学、临床药学、影像学、检验、护理等相关专业人员组成，协助卫生健康行政部门完成督导检查。</w:t>
      </w:r>
    </w:p>
    <w:p w:rsidR="00B23A40" w:rsidRDefault="00B23A40">
      <w:pPr>
        <w:spacing w:line="360" w:lineRule="auto"/>
        <w:ind w:firstLineChars="200" w:firstLine="422"/>
        <w:jc w:val="center"/>
        <w:rPr>
          <w:rFonts w:ascii="宋体" w:cs="Times New Roman"/>
          <w:b/>
          <w:bCs/>
        </w:rPr>
      </w:pPr>
    </w:p>
    <w:p w:rsidR="00B23A40" w:rsidRDefault="00DD1A0D">
      <w:pPr>
        <w:spacing w:line="360" w:lineRule="auto"/>
        <w:ind w:firstLineChars="200" w:firstLine="883"/>
        <w:jc w:val="center"/>
        <w:rPr>
          <w:rFonts w:ascii="宋体" w:cs="Times New Roman"/>
          <w:b/>
          <w:bCs/>
          <w:sz w:val="44"/>
          <w:szCs w:val="44"/>
        </w:rPr>
      </w:pPr>
      <w:r>
        <w:rPr>
          <w:rFonts w:ascii="宋体" w:hAnsi="宋体" w:cs="宋体" w:hint="eastAsia"/>
          <w:b/>
          <w:bCs/>
          <w:sz w:val="44"/>
          <w:szCs w:val="44"/>
        </w:rPr>
        <w:t>第二部分</w:t>
      </w:r>
      <w:r w:rsidR="00DA3659">
        <w:rPr>
          <w:rFonts w:ascii="宋体" w:hAnsi="宋体" w:cs="宋体" w:hint="eastAsia"/>
          <w:b/>
          <w:bCs/>
          <w:sz w:val="44"/>
          <w:szCs w:val="44"/>
        </w:rPr>
        <w:t xml:space="preserve"> </w:t>
      </w:r>
      <w:r>
        <w:rPr>
          <w:rFonts w:ascii="宋体" w:hAnsi="宋体" w:cs="宋体" w:hint="eastAsia"/>
          <w:b/>
          <w:bCs/>
          <w:sz w:val="44"/>
          <w:szCs w:val="44"/>
        </w:rPr>
        <w:t>各系统肿瘤的药物临床应用指导原则</w:t>
      </w:r>
    </w:p>
    <w:p w:rsidR="00B23A40" w:rsidRDefault="00DD1A0D">
      <w:pPr>
        <w:spacing w:line="360" w:lineRule="auto"/>
        <w:ind w:firstLineChars="200" w:firstLine="883"/>
        <w:jc w:val="center"/>
        <w:rPr>
          <w:rFonts w:ascii="宋体" w:cs="Times New Roman"/>
          <w:b/>
          <w:bCs/>
          <w:sz w:val="44"/>
          <w:szCs w:val="44"/>
        </w:rPr>
      </w:pPr>
      <w:r>
        <w:rPr>
          <w:rFonts w:ascii="宋体" w:hAnsi="宋体" w:cs="宋体" w:hint="eastAsia"/>
          <w:b/>
          <w:bCs/>
          <w:sz w:val="44"/>
          <w:szCs w:val="44"/>
        </w:rPr>
        <w:t>呼吸系统肿瘤用药</w:t>
      </w:r>
    </w:p>
    <w:p w:rsidR="00B23A40" w:rsidRDefault="00B23A40">
      <w:pPr>
        <w:spacing w:line="360" w:lineRule="auto"/>
        <w:ind w:firstLineChars="200" w:firstLine="883"/>
        <w:jc w:val="center"/>
        <w:rPr>
          <w:rFonts w:ascii="宋体" w:cs="Times New Roman"/>
          <w:b/>
          <w:bCs/>
          <w:sz w:val="44"/>
          <w:szCs w:val="44"/>
        </w:rPr>
      </w:pPr>
    </w:p>
    <w:p w:rsidR="00B23A40" w:rsidRDefault="00DD1A0D">
      <w:pPr>
        <w:spacing w:line="360" w:lineRule="auto"/>
        <w:ind w:firstLineChars="200" w:firstLine="640"/>
        <w:jc w:val="left"/>
        <w:rPr>
          <w:rFonts w:ascii="黑体" w:eastAsia="黑体" w:hAnsi="黑体" w:cs="Times New Roman"/>
          <w:sz w:val="32"/>
          <w:szCs w:val="32"/>
        </w:rPr>
      </w:pPr>
      <w:r>
        <w:rPr>
          <w:rFonts w:ascii="黑体" w:eastAsia="黑体" w:hAnsi="黑体" w:cs="黑体" w:hint="eastAsia"/>
          <w:sz w:val="32"/>
          <w:szCs w:val="32"/>
        </w:rPr>
        <w:t xml:space="preserve">一、吉非替尼 </w:t>
      </w:r>
      <w:r>
        <w:rPr>
          <w:rFonts w:ascii="黑体" w:eastAsia="黑体" w:hAnsi="黑体" w:cs="黑体"/>
          <w:sz w:val="32"/>
          <w:szCs w:val="32"/>
        </w:rPr>
        <w:t>gefitinib</w:t>
      </w:r>
    </w:p>
    <w:p w:rsidR="00B23A40" w:rsidRDefault="00DD1A0D">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片剂：</w:t>
      </w:r>
      <w:r>
        <w:rPr>
          <w:rFonts w:ascii="仿宋" w:eastAsia="仿宋" w:hAnsi="仿宋" w:cs="仿宋"/>
          <w:sz w:val="32"/>
          <w:szCs w:val="32"/>
        </w:rPr>
        <w:t>250mg</w:t>
      </w:r>
    </w:p>
    <w:p w:rsidR="00B23A40" w:rsidRDefault="00DD1A0D">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rPr>
        <w:t>适应证：</w:t>
      </w:r>
      <w:r>
        <w:rPr>
          <w:rFonts w:ascii="仿宋" w:eastAsia="仿宋" w:hAnsi="仿宋" w:cs="仿宋" w:hint="eastAsia"/>
          <w:bCs/>
          <w:sz w:val="32"/>
          <w:szCs w:val="32"/>
        </w:rPr>
        <w:t>表皮生长因子受体（</w:t>
      </w:r>
      <w:r>
        <w:rPr>
          <w:rFonts w:ascii="仿宋" w:eastAsia="仿宋" w:hAnsi="仿宋" w:cs="仿宋"/>
          <w:sz w:val="32"/>
          <w:szCs w:val="32"/>
        </w:rPr>
        <w:t>EGFR</w:t>
      </w:r>
      <w:r>
        <w:rPr>
          <w:rFonts w:ascii="仿宋" w:eastAsia="仿宋" w:hAnsi="仿宋" w:cs="仿宋" w:hint="eastAsia"/>
          <w:sz w:val="32"/>
          <w:szCs w:val="32"/>
        </w:rPr>
        <w:t>）基因具有敏感突变的局部晚期或转移性非小细胞肺癌（</w:t>
      </w:r>
      <w:r>
        <w:rPr>
          <w:rFonts w:ascii="仿宋" w:eastAsia="仿宋" w:hAnsi="仿宋" w:cs="仿宋"/>
          <w:sz w:val="32"/>
          <w:szCs w:val="32"/>
        </w:rPr>
        <w:t>NSCLC</w:t>
      </w:r>
      <w:r>
        <w:rPr>
          <w:rFonts w:ascii="仿宋" w:eastAsia="仿宋" w:hAnsi="仿宋" w:cs="仿宋" w:hint="eastAsia"/>
          <w:sz w:val="32"/>
          <w:szCs w:val="32"/>
        </w:rPr>
        <w:t>）。</w:t>
      </w:r>
    </w:p>
    <w:p w:rsidR="00B23A40" w:rsidRDefault="00DD1A0D">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用药前必须明确有经国家药品监督管理局批准的</w:t>
      </w:r>
      <w:r>
        <w:rPr>
          <w:rFonts w:ascii="仿宋" w:eastAsia="仿宋" w:hAnsi="仿宋" w:cs="仿宋"/>
          <w:sz w:val="32"/>
          <w:szCs w:val="32"/>
        </w:rPr>
        <w:t>EGFR</w:t>
      </w:r>
      <w:r>
        <w:rPr>
          <w:rFonts w:ascii="仿宋" w:eastAsia="仿宋" w:hAnsi="仿宋" w:cs="仿宋" w:hint="eastAsia"/>
          <w:sz w:val="32"/>
          <w:szCs w:val="32"/>
        </w:rPr>
        <w:t>基因检测方法检测到的</w:t>
      </w:r>
      <w:r>
        <w:rPr>
          <w:rFonts w:ascii="仿宋" w:eastAsia="仿宋" w:hAnsi="仿宋" w:cs="仿宋"/>
          <w:sz w:val="32"/>
          <w:szCs w:val="32"/>
        </w:rPr>
        <w:t>EGFR</w:t>
      </w:r>
      <w:r>
        <w:rPr>
          <w:rFonts w:ascii="仿宋" w:eastAsia="仿宋" w:hAnsi="仿宋" w:cs="仿宋" w:hint="eastAsia"/>
          <w:sz w:val="32"/>
          <w:szCs w:val="32"/>
        </w:rPr>
        <w:t>敏感突变。</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肿瘤组织和血液均可用于</w:t>
      </w:r>
      <w:r>
        <w:rPr>
          <w:rFonts w:ascii="仿宋" w:eastAsia="仿宋" w:hAnsi="仿宋" w:cs="仿宋"/>
          <w:sz w:val="32"/>
          <w:szCs w:val="32"/>
        </w:rPr>
        <w:t>EGFR</w:t>
      </w:r>
      <w:r>
        <w:rPr>
          <w:rFonts w:ascii="仿宋" w:eastAsia="仿宋" w:hAnsi="仿宋" w:cs="仿宋" w:hint="eastAsia"/>
          <w:sz w:val="32"/>
          <w:szCs w:val="32"/>
        </w:rPr>
        <w:t>基因突变检测，但组织检测优先。</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治疗期间因药物毒性不可耐受时，可在同一代药物之间替换，如疾病进展则不能在同一代药物之间替换。</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治疗过程中影像学显示缓慢进展但临床症状未发生恶化的患者，可以继续使用原药物；发生局部进展的患者，可以继续使用原药物加局部治疗；对于快速进展的患者，建</w:t>
      </w:r>
      <w:r>
        <w:rPr>
          <w:rFonts w:ascii="仿宋" w:eastAsia="仿宋" w:hAnsi="仿宋" w:cs="仿宋" w:hint="eastAsia"/>
          <w:sz w:val="32"/>
          <w:szCs w:val="32"/>
        </w:rPr>
        <w:lastRenderedPageBreak/>
        <w:t>议改换为其他治疗方案。（本条标准也适用于其他EGFR酪氨酸激酶抑制剂、ALK酪氨酸激酶抑制剂和ROS1酪氨酸激酶抑制剂）</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5.</w:t>
      </w:r>
      <w:r>
        <w:rPr>
          <w:rFonts w:ascii="仿宋" w:eastAsia="仿宋" w:hAnsi="仿宋" w:cs="仿宋" w:hint="eastAsia"/>
          <w:sz w:val="32"/>
          <w:szCs w:val="32"/>
        </w:rPr>
        <w:t>用药期间必须注意常见的皮肤反应和腹泻；应特别注意间质性肺炎、肝脏毒性和眼部症状的发生。</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6.</w:t>
      </w:r>
      <w:r>
        <w:rPr>
          <w:rFonts w:ascii="仿宋" w:eastAsia="仿宋" w:hAnsi="仿宋" w:cs="仿宋" w:hint="eastAsia"/>
          <w:sz w:val="32"/>
          <w:szCs w:val="32"/>
        </w:rPr>
        <w:t>避免与</w:t>
      </w:r>
      <w:r>
        <w:rPr>
          <w:rFonts w:ascii="仿宋" w:eastAsia="仿宋" w:hAnsi="仿宋" w:cs="仿宋"/>
          <w:sz w:val="32"/>
          <w:szCs w:val="32"/>
        </w:rPr>
        <w:t>CYP3A4</w:t>
      </w:r>
      <w:r>
        <w:rPr>
          <w:rFonts w:ascii="仿宋" w:eastAsia="仿宋" w:hAnsi="仿宋" w:cs="仿宋" w:hint="eastAsia"/>
          <w:sz w:val="32"/>
          <w:szCs w:val="32"/>
        </w:rPr>
        <w:t>强诱导剂或强抑制剂联合使用。服用华法林的患者应定期监测凝血酶原时间或</w:t>
      </w:r>
      <w:r>
        <w:rPr>
          <w:rFonts w:ascii="仿宋" w:eastAsia="仿宋" w:hAnsi="仿宋" w:cs="仿宋"/>
          <w:sz w:val="32"/>
          <w:szCs w:val="32"/>
        </w:rPr>
        <w:t>INR</w:t>
      </w:r>
      <w:r>
        <w:rPr>
          <w:rFonts w:ascii="仿宋" w:eastAsia="仿宋" w:hAnsi="仿宋" w:cs="仿宋" w:hint="eastAsia"/>
          <w:sz w:val="32"/>
          <w:szCs w:val="32"/>
        </w:rPr>
        <w:t>的改变。能显著且持续升高胃液</w:t>
      </w:r>
      <w:r>
        <w:rPr>
          <w:rFonts w:ascii="仿宋" w:eastAsia="仿宋" w:hAnsi="仿宋" w:cs="仿宋"/>
          <w:sz w:val="32"/>
          <w:szCs w:val="32"/>
        </w:rPr>
        <w:t>pH</w:t>
      </w:r>
      <w:r>
        <w:rPr>
          <w:rFonts w:ascii="仿宋" w:eastAsia="仿宋" w:hAnsi="仿宋" w:cs="仿宋" w:hint="eastAsia"/>
          <w:sz w:val="32"/>
          <w:szCs w:val="32"/>
        </w:rPr>
        <w:t>值的药物有可能会降低吉非替尼的血药浓度，从而降低吉非替尼疗效。</w:t>
      </w:r>
    </w:p>
    <w:p w:rsidR="00B23A40" w:rsidRDefault="00DD1A0D">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vertAlign w:val="superscript"/>
        </w:rPr>
        <w:t>※</w:t>
      </w:r>
      <w:r>
        <w:rPr>
          <w:rFonts w:ascii="仿宋" w:eastAsia="仿宋" w:hAnsi="仿宋" w:cs="仿宋"/>
          <w:sz w:val="32"/>
          <w:szCs w:val="32"/>
        </w:rPr>
        <w:t>7.</w:t>
      </w:r>
      <w:r>
        <w:rPr>
          <w:rFonts w:ascii="仿宋" w:eastAsia="仿宋" w:hAnsi="仿宋" w:cs="仿宋" w:hint="eastAsia"/>
          <w:sz w:val="32"/>
          <w:szCs w:val="32"/>
        </w:rPr>
        <w:t>在某些肿瘤急症的情况下如脑转移昏迷或呼吸衰竭，在充分知情的情况下，对不吸烟的肺腺癌患者可考虑使用。一旦病情缓解，必须补充进行</w:t>
      </w:r>
      <w:r>
        <w:rPr>
          <w:rFonts w:ascii="仿宋" w:eastAsia="仿宋" w:hAnsi="仿宋" w:cs="仿宋"/>
          <w:sz w:val="32"/>
          <w:szCs w:val="32"/>
        </w:rPr>
        <w:t>EGFR</w:t>
      </w:r>
      <w:r>
        <w:rPr>
          <w:rFonts w:ascii="仿宋" w:eastAsia="仿宋" w:hAnsi="仿宋" w:cs="仿宋" w:hint="eastAsia"/>
          <w:sz w:val="32"/>
          <w:szCs w:val="32"/>
        </w:rPr>
        <w:t>突变的组织检测。（本条标准也适用于其他EGFR酪氨酸激酶抑制剂）</w:t>
      </w:r>
    </w:p>
    <w:p w:rsidR="00B23A40" w:rsidRDefault="00DD1A0D">
      <w:pPr>
        <w:spacing w:line="360" w:lineRule="auto"/>
        <w:ind w:firstLineChars="200" w:firstLine="640"/>
        <w:rPr>
          <w:rFonts w:ascii="黑体" w:eastAsia="黑体" w:hAnsi="黑体" w:cs="Times New Roman"/>
          <w:color w:val="000000"/>
          <w:sz w:val="32"/>
          <w:szCs w:val="32"/>
        </w:rPr>
      </w:pPr>
      <w:r>
        <w:rPr>
          <w:rFonts w:ascii="黑体" w:eastAsia="黑体" w:hAnsi="黑体" w:cs="黑体" w:hint="eastAsia"/>
          <w:sz w:val="32"/>
          <w:szCs w:val="32"/>
        </w:rPr>
        <w:t xml:space="preserve">二、厄洛替尼 </w:t>
      </w:r>
      <w:r>
        <w:rPr>
          <w:rFonts w:ascii="黑体" w:eastAsia="黑体" w:hAnsi="黑体" w:cs="黑体"/>
          <w:sz w:val="32"/>
          <w:szCs w:val="32"/>
        </w:rPr>
        <w:t>erlotinib</w:t>
      </w:r>
    </w:p>
    <w:p w:rsidR="00B23A40" w:rsidRDefault="00DD1A0D">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片剂：</w:t>
      </w:r>
      <w:r>
        <w:rPr>
          <w:rFonts w:ascii="仿宋" w:eastAsia="仿宋" w:hAnsi="仿宋" w:cs="仿宋"/>
          <w:sz w:val="32"/>
          <w:szCs w:val="32"/>
        </w:rPr>
        <w:t>150mg</w:t>
      </w:r>
    </w:p>
    <w:p w:rsidR="00B23A40" w:rsidRDefault="00DD1A0D">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rPr>
        <w:t>适应证：</w:t>
      </w:r>
      <w:r>
        <w:rPr>
          <w:rFonts w:ascii="仿宋" w:eastAsia="仿宋" w:hAnsi="仿宋" w:cs="仿宋"/>
          <w:sz w:val="32"/>
          <w:szCs w:val="32"/>
        </w:rPr>
        <w:t>EGFR</w:t>
      </w:r>
      <w:r>
        <w:rPr>
          <w:rFonts w:ascii="仿宋" w:eastAsia="仿宋" w:hAnsi="仿宋" w:cs="仿宋" w:hint="eastAsia"/>
          <w:sz w:val="32"/>
          <w:szCs w:val="32"/>
        </w:rPr>
        <w:t>基因具有敏感突变的局部晚期或转移性非小细胞肺癌（</w:t>
      </w:r>
      <w:r>
        <w:rPr>
          <w:rFonts w:ascii="仿宋" w:eastAsia="仿宋" w:hAnsi="仿宋" w:cs="仿宋"/>
          <w:sz w:val="32"/>
          <w:szCs w:val="32"/>
        </w:rPr>
        <w:t>NSCLC</w:t>
      </w:r>
      <w:r>
        <w:rPr>
          <w:rFonts w:ascii="仿宋" w:eastAsia="仿宋" w:hAnsi="仿宋" w:cs="仿宋" w:hint="eastAsia"/>
          <w:sz w:val="32"/>
          <w:szCs w:val="32"/>
        </w:rPr>
        <w:t>）。</w:t>
      </w:r>
    </w:p>
    <w:p w:rsidR="00B23A40" w:rsidRDefault="00DD1A0D">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厄洛替尼一线或维持使用于晚期或转移性</w:t>
      </w:r>
      <w:r>
        <w:rPr>
          <w:rFonts w:ascii="仿宋" w:eastAsia="仿宋" w:hAnsi="仿宋" w:cs="仿宋"/>
          <w:sz w:val="32"/>
          <w:szCs w:val="32"/>
        </w:rPr>
        <w:t>NSCLC</w:t>
      </w:r>
      <w:r>
        <w:rPr>
          <w:rFonts w:ascii="仿宋" w:eastAsia="仿宋" w:hAnsi="仿宋" w:cs="仿宋" w:hint="eastAsia"/>
          <w:sz w:val="32"/>
          <w:szCs w:val="32"/>
        </w:rPr>
        <w:t>患者的治疗时，必须对患者的</w:t>
      </w:r>
      <w:r>
        <w:rPr>
          <w:rFonts w:ascii="仿宋" w:eastAsia="仿宋" w:hAnsi="仿宋" w:cs="仿宋"/>
          <w:sz w:val="32"/>
          <w:szCs w:val="32"/>
        </w:rPr>
        <w:t>EGFR</w:t>
      </w:r>
      <w:r>
        <w:rPr>
          <w:rFonts w:ascii="仿宋" w:eastAsia="仿宋" w:hAnsi="仿宋" w:cs="仿宋" w:hint="eastAsia"/>
          <w:sz w:val="32"/>
          <w:szCs w:val="32"/>
        </w:rPr>
        <w:t>突变进行评估，选用经过国家药品监督管理局批准的检测方法检测到敏感突变。</w:t>
      </w:r>
    </w:p>
    <w:p w:rsidR="00B23A40" w:rsidRDefault="0064405D">
      <w:pPr>
        <w:spacing w:line="360" w:lineRule="auto"/>
        <w:ind w:firstLineChars="200" w:firstLine="640"/>
        <w:rPr>
          <w:rFonts w:ascii="仿宋" w:eastAsia="仿宋" w:hAnsi="仿宋" w:cs="Times New Roman"/>
          <w:sz w:val="32"/>
          <w:szCs w:val="32"/>
        </w:rPr>
      </w:pPr>
      <w:r>
        <w:rPr>
          <w:rFonts w:ascii="仿宋" w:eastAsia="仿宋" w:hAnsi="仿宋" w:cs="仿宋"/>
          <w:noProof/>
          <w:sz w:val="32"/>
          <w:szCs w:val="32"/>
        </w:rPr>
        <mc:AlternateContent>
          <mc:Choice Requires="wps">
            <w:drawing>
              <wp:anchor distT="0" distB="0" distL="114300" distR="114300" simplePos="0" relativeHeight="251660288" behindDoc="0" locked="0" layoutInCell="1" allowOverlap="1">
                <wp:simplePos x="0" y="0"/>
                <wp:positionH relativeFrom="column">
                  <wp:posOffset>121285</wp:posOffset>
                </wp:positionH>
                <wp:positionV relativeFrom="paragraph">
                  <wp:posOffset>727710</wp:posOffset>
                </wp:positionV>
                <wp:extent cx="3402330" cy="12065"/>
                <wp:effectExtent l="0" t="0" r="26670" b="2603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02330" cy="1206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57.3pt" to="277.4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" strokecolor="black [3040]" strokeweight=".25pt">
                <o:lock v:ext="edit" shapetype="f"/>
              </v:line>
            </w:pict>
          </mc:Fallback>
        </mc:AlternateContent>
      </w:r>
      <w:r>
        <w:rPr>
          <w:rFonts w:ascii="仿宋" w:eastAsia="仿宋" w:hAnsi="仿宋" w:cs="仿宋"/>
          <w:noProof/>
          <w:sz w:val="32"/>
          <w:szCs w:val="32"/>
        </w:rPr>
        <mc:AlternateContent>
          <mc:Choice Requires="wps">
            <w:drawing>
              <wp:anchor distT="45720" distB="45720" distL="114300" distR="114300" simplePos="0" relativeHeight="251658240" behindDoc="0" locked="0" layoutInCell="1" allowOverlap="1">
                <wp:simplePos x="0" y="0"/>
                <wp:positionH relativeFrom="column">
                  <wp:posOffset>44450</wp:posOffset>
                </wp:positionH>
                <wp:positionV relativeFrom="paragraph">
                  <wp:posOffset>525780</wp:posOffset>
                </wp:positionV>
                <wp:extent cx="4785360" cy="490855"/>
                <wp:effectExtent l="0" t="0" r="15240" b="2413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490855"/>
                        </a:xfrm>
                        <a:prstGeom prst="rect">
                          <a:avLst/>
                        </a:prstGeom>
                        <a:solidFill>
                          <a:srgbClr val="FFFFFF"/>
                        </a:solidFill>
                        <a:ln w="3175">
                          <a:solidFill>
                            <a:schemeClr val="bg1"/>
                          </a:solidFill>
                          <a:miter lim="800000"/>
                        </a:ln>
                      </wps:spPr>
                      <wps:txbx>
                        <w:txbxContent>
                          <w:p w:rsidR="004B59C4" w:rsidRDefault="004B59C4">
                            <w:pPr>
                              <w:rPr>
                                <w:sz w:val="16"/>
                                <w:szCs w:val="16"/>
                              </w:rPr>
                            </w:pPr>
                          </w:p>
                          <w:p w:rsidR="004B59C4" w:rsidRDefault="004B59C4">
                            <w:pPr>
                              <w:rPr>
                                <w:sz w:val="16"/>
                                <w:szCs w:val="16"/>
                              </w:rPr>
                            </w:pPr>
                            <w:r>
                              <w:rPr>
                                <w:rFonts w:hint="eastAsia"/>
                                <w:sz w:val="15"/>
                                <w:szCs w:val="15"/>
                              </w:rPr>
                              <w:t>本指导原则“合理用药要点”带※部分为特殊情况下增加适应证用药专家共识。</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5pt;margin-top:41.4pt;width:376.8pt;height:38.6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" strokecolor="white [3212]" strokeweight=".25pt">
                <v:textbox style="mso-fit-shape-to-text:t">
                  <w:txbxContent>
                    <w:p w:rsidR="004B59C4" w:rsidRDefault="004B59C4">
                      <w:pPr>
                        <w:rPr>
                          <w:sz w:val="16"/>
                          <w:szCs w:val="16"/>
                        </w:rPr>
                      </w:pPr>
                    </w:p>
                    <w:p w:rsidR="004B59C4" w:rsidRDefault="004B59C4">
                      <w:pPr>
                        <w:rPr>
                          <w:sz w:val="16"/>
                          <w:szCs w:val="16"/>
                        </w:rPr>
                      </w:pPr>
                      <w:r>
                        <w:rPr>
                          <w:rFonts w:hint="eastAsia"/>
                          <w:sz w:val="15"/>
                          <w:szCs w:val="15"/>
                        </w:rPr>
                        <w:t>本指导原则“合理用药要点”带※部分为特殊情况下增加适应证用药专家共识。</w:t>
                      </w:r>
                    </w:p>
                  </w:txbxContent>
                </v:textbox>
                <w10:wrap type="square"/>
              </v:shape>
            </w:pict>
          </mc:Fallback>
        </mc:AlternateContent>
      </w:r>
      <w:r w:rsidR="00DD1A0D">
        <w:rPr>
          <w:rFonts w:ascii="仿宋" w:eastAsia="仿宋" w:hAnsi="仿宋" w:cs="仿宋"/>
          <w:sz w:val="32"/>
          <w:szCs w:val="32"/>
        </w:rPr>
        <w:t>2.</w:t>
      </w:r>
      <w:r w:rsidR="00DD1A0D">
        <w:rPr>
          <w:rFonts w:ascii="仿宋" w:eastAsia="仿宋" w:hAnsi="仿宋" w:cs="仿宋" w:hint="eastAsia"/>
          <w:sz w:val="32"/>
          <w:szCs w:val="32"/>
        </w:rPr>
        <w:t>有脑转移的</w:t>
      </w:r>
      <w:r w:rsidR="00DD1A0D">
        <w:rPr>
          <w:rFonts w:ascii="仿宋" w:eastAsia="仿宋" w:hAnsi="仿宋" w:cs="仿宋"/>
          <w:sz w:val="32"/>
          <w:szCs w:val="32"/>
        </w:rPr>
        <w:t>EGFR</w:t>
      </w:r>
      <w:r w:rsidR="00DD1A0D">
        <w:rPr>
          <w:rFonts w:ascii="仿宋" w:eastAsia="仿宋" w:hAnsi="仿宋" w:cs="仿宋" w:hint="eastAsia"/>
          <w:sz w:val="32"/>
          <w:szCs w:val="32"/>
        </w:rPr>
        <w:t>基因突变的</w:t>
      </w:r>
      <w:r w:rsidR="00DD1A0D">
        <w:rPr>
          <w:rFonts w:ascii="仿宋" w:eastAsia="仿宋" w:hAnsi="仿宋" w:cs="仿宋"/>
          <w:sz w:val="32"/>
          <w:szCs w:val="32"/>
        </w:rPr>
        <w:t>NSCLC</w:t>
      </w:r>
      <w:r w:rsidR="00DD1A0D">
        <w:rPr>
          <w:rFonts w:ascii="仿宋" w:eastAsia="仿宋" w:hAnsi="仿宋" w:cs="仿宋" w:hint="eastAsia"/>
          <w:sz w:val="32"/>
          <w:szCs w:val="32"/>
        </w:rPr>
        <w:t>患者可考虑使用</w:t>
      </w:r>
      <w:r w:rsidR="00DD1A0D">
        <w:rPr>
          <w:rFonts w:ascii="仿宋" w:eastAsia="仿宋" w:hAnsi="仿宋" w:cs="仿宋" w:hint="eastAsia"/>
          <w:sz w:val="32"/>
          <w:szCs w:val="32"/>
        </w:rPr>
        <w:lastRenderedPageBreak/>
        <w:t>厄洛替尼。</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用药期间必须注意常见的皮肤反应和腹泻。应特别注意间质性肺炎、肝功能异常和眼部症状的发生。</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4.避免与CYP3A4</w:t>
      </w:r>
      <w:r>
        <w:rPr>
          <w:rFonts w:ascii="仿宋" w:eastAsia="仿宋" w:hAnsi="仿宋" w:cs="仿宋" w:hint="eastAsia"/>
          <w:sz w:val="32"/>
          <w:szCs w:val="32"/>
        </w:rPr>
        <w:t>强抑制剂或强诱导剂联合使用</w:t>
      </w:r>
      <w:r>
        <w:rPr>
          <w:rFonts w:ascii="仿宋" w:eastAsia="仿宋" w:hAnsi="仿宋" w:cs="仿宋" w:hint="eastAsia"/>
          <w:w w:val="99"/>
          <w:sz w:val="32"/>
          <w:szCs w:val="32"/>
        </w:rPr>
        <w:t>。避免厄洛替尼与能显著且持续升高胃液pH值的药物合用。</w:t>
      </w:r>
    </w:p>
    <w:p w:rsidR="00B23A40" w:rsidRDefault="00DD1A0D">
      <w:pPr>
        <w:spacing w:line="360" w:lineRule="auto"/>
        <w:ind w:firstLineChars="200" w:firstLine="640"/>
        <w:rPr>
          <w:rFonts w:ascii="仿宋" w:eastAsia="仿宋" w:hAnsi="仿宋" w:cs="Times New Roman"/>
          <w:w w:val="97"/>
          <w:sz w:val="32"/>
          <w:szCs w:val="32"/>
        </w:rPr>
      </w:pPr>
      <w:r>
        <w:rPr>
          <w:rFonts w:ascii="仿宋" w:eastAsia="仿宋" w:hAnsi="仿宋" w:cs="仿宋"/>
          <w:sz w:val="32"/>
          <w:szCs w:val="32"/>
        </w:rPr>
        <w:t>5</w:t>
      </w:r>
      <w:r>
        <w:rPr>
          <w:rFonts w:ascii="仿宋" w:eastAsia="仿宋" w:hAnsi="仿宋" w:cs="仿宋"/>
          <w:w w:val="99"/>
          <w:sz w:val="32"/>
          <w:szCs w:val="32"/>
        </w:rPr>
        <w:t>.</w:t>
      </w:r>
      <w:r>
        <w:rPr>
          <w:rFonts w:ascii="仿宋" w:eastAsia="仿宋" w:hAnsi="仿宋" w:cs="仿宋" w:hint="eastAsia"/>
          <w:sz w:val="32"/>
          <w:szCs w:val="32"/>
        </w:rPr>
        <w:t>吸烟会导致厄洛替尼的暴露量降低，建议患者戒烟。</w:t>
      </w:r>
    </w:p>
    <w:p w:rsidR="00B23A40" w:rsidRDefault="00DD1A0D">
      <w:pPr>
        <w:spacing w:line="360" w:lineRule="auto"/>
        <w:ind w:firstLineChars="200" w:firstLine="640"/>
        <w:rPr>
          <w:rFonts w:ascii="仿宋" w:eastAsia="仿宋" w:hAnsi="仿宋" w:cs="Times New Roman"/>
          <w:sz w:val="32"/>
          <w:szCs w:val="32"/>
        </w:rPr>
      </w:pPr>
      <w:r>
        <w:rPr>
          <w:rFonts w:ascii="黑体" w:eastAsia="黑体" w:hAnsi="黑体" w:cs="黑体" w:hint="eastAsia"/>
          <w:sz w:val="32"/>
          <w:szCs w:val="32"/>
        </w:rPr>
        <w:t xml:space="preserve">三、埃克替尼 </w:t>
      </w:r>
      <w:r>
        <w:rPr>
          <w:rFonts w:ascii="黑体" w:eastAsia="黑体" w:hAnsi="黑体" w:cs="黑体"/>
          <w:sz w:val="32"/>
          <w:szCs w:val="32"/>
        </w:rPr>
        <w:t>icotinib</w:t>
      </w:r>
    </w:p>
    <w:p w:rsidR="00B23A40" w:rsidRDefault="00DD1A0D">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片剂：</w:t>
      </w:r>
      <w:r>
        <w:rPr>
          <w:rFonts w:ascii="仿宋" w:eastAsia="仿宋" w:hAnsi="仿宋" w:cs="仿宋"/>
          <w:sz w:val="32"/>
          <w:szCs w:val="32"/>
        </w:rPr>
        <w:t>125mg</w:t>
      </w:r>
    </w:p>
    <w:p w:rsidR="00B23A40" w:rsidRDefault="00DD1A0D">
      <w:pPr>
        <w:autoSpaceDE w:val="0"/>
        <w:autoSpaceDN w:val="0"/>
        <w:adjustRightInd w:val="0"/>
        <w:spacing w:line="360" w:lineRule="auto"/>
        <w:ind w:firstLineChars="200" w:firstLine="643"/>
        <w:jc w:val="left"/>
        <w:rPr>
          <w:rFonts w:ascii="仿宋" w:eastAsia="仿宋" w:hAnsi="仿宋" w:cs="Times New Roman"/>
          <w:sz w:val="32"/>
          <w:szCs w:val="32"/>
        </w:rPr>
      </w:pPr>
      <w:r>
        <w:rPr>
          <w:rFonts w:ascii="仿宋" w:eastAsia="仿宋" w:hAnsi="仿宋" w:cs="仿宋" w:hint="eastAsia"/>
          <w:b/>
          <w:bCs/>
          <w:sz w:val="32"/>
          <w:szCs w:val="32"/>
        </w:rPr>
        <w:t>适应证：</w:t>
      </w:r>
      <w:r>
        <w:rPr>
          <w:rFonts w:ascii="仿宋" w:eastAsia="仿宋" w:hAnsi="仿宋" w:cs="仿宋"/>
          <w:sz w:val="32"/>
          <w:szCs w:val="32"/>
        </w:rPr>
        <w:t>EGFR</w:t>
      </w:r>
      <w:r>
        <w:rPr>
          <w:rFonts w:ascii="仿宋" w:eastAsia="仿宋" w:hAnsi="仿宋" w:cs="仿宋" w:hint="eastAsia"/>
          <w:sz w:val="32"/>
          <w:szCs w:val="32"/>
        </w:rPr>
        <w:t>基因具有敏感突变的局部晚期或转移性</w:t>
      </w:r>
      <w:r>
        <w:rPr>
          <w:rFonts w:ascii="仿宋" w:eastAsia="仿宋" w:hAnsi="仿宋" w:cs="仿宋"/>
          <w:sz w:val="32"/>
          <w:szCs w:val="32"/>
        </w:rPr>
        <w:t>NSCLC</w:t>
      </w:r>
      <w:r>
        <w:rPr>
          <w:rFonts w:ascii="仿宋" w:eastAsia="仿宋" w:hAnsi="仿宋" w:cs="仿宋" w:hint="eastAsia"/>
          <w:sz w:val="32"/>
          <w:szCs w:val="32"/>
        </w:rPr>
        <w:t>。</w:t>
      </w:r>
    </w:p>
    <w:p w:rsidR="00B23A40" w:rsidRDefault="00DD1A0D">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针对一线治疗，用药前进行</w:t>
      </w:r>
      <w:r>
        <w:rPr>
          <w:rFonts w:ascii="仿宋" w:eastAsia="仿宋" w:hAnsi="仿宋" w:cs="仿宋"/>
          <w:sz w:val="32"/>
          <w:szCs w:val="32"/>
        </w:rPr>
        <w:t>EGFR</w:t>
      </w:r>
      <w:r>
        <w:rPr>
          <w:rFonts w:ascii="仿宋" w:eastAsia="仿宋" w:hAnsi="仿宋" w:cs="仿宋" w:hint="eastAsia"/>
          <w:sz w:val="32"/>
          <w:szCs w:val="32"/>
        </w:rPr>
        <w:t>基因突变检测，组织和体液检测均可，组织检测优先。</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有脑转移的</w:t>
      </w:r>
      <w:r>
        <w:rPr>
          <w:rFonts w:ascii="仿宋" w:eastAsia="仿宋" w:hAnsi="仿宋" w:cs="仿宋"/>
          <w:sz w:val="32"/>
          <w:szCs w:val="32"/>
        </w:rPr>
        <w:t>EGFR</w:t>
      </w:r>
      <w:r>
        <w:rPr>
          <w:rFonts w:ascii="仿宋" w:eastAsia="仿宋" w:hAnsi="仿宋" w:cs="仿宋" w:hint="eastAsia"/>
          <w:sz w:val="32"/>
          <w:szCs w:val="32"/>
        </w:rPr>
        <w:t>基因突变的</w:t>
      </w:r>
      <w:r>
        <w:rPr>
          <w:rFonts w:ascii="仿宋" w:eastAsia="仿宋" w:hAnsi="仿宋" w:cs="仿宋"/>
          <w:sz w:val="32"/>
          <w:szCs w:val="32"/>
        </w:rPr>
        <w:t>NSCLC</w:t>
      </w:r>
      <w:r>
        <w:rPr>
          <w:rFonts w:ascii="仿宋" w:eastAsia="仿宋" w:hAnsi="仿宋" w:cs="仿宋" w:hint="eastAsia"/>
          <w:sz w:val="32"/>
          <w:szCs w:val="32"/>
        </w:rPr>
        <w:t>患者，可优先选择埃克替尼。</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一线接受化疗失败的患者，二、三线可考虑使用埃克替尼，但不推荐用于</w:t>
      </w:r>
      <w:r>
        <w:rPr>
          <w:rFonts w:ascii="仿宋" w:eastAsia="仿宋" w:hAnsi="仿宋" w:cs="仿宋"/>
          <w:sz w:val="32"/>
          <w:szCs w:val="32"/>
        </w:rPr>
        <w:t>EGFR</w:t>
      </w:r>
      <w:r>
        <w:rPr>
          <w:rFonts w:ascii="仿宋" w:eastAsia="仿宋" w:hAnsi="仿宋" w:cs="仿宋" w:hint="eastAsia"/>
          <w:sz w:val="32"/>
          <w:szCs w:val="32"/>
        </w:rPr>
        <w:t>基因突变阴性的患者。</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不良反应主要为常见的</w:t>
      </w:r>
      <w:r>
        <w:rPr>
          <w:rFonts w:ascii="仿宋" w:eastAsia="仿宋" w:hAnsi="仿宋" w:cs="仿宋"/>
          <w:sz w:val="32"/>
          <w:szCs w:val="32"/>
        </w:rPr>
        <w:t>I</w:t>
      </w:r>
      <w:r>
        <w:rPr>
          <w:rFonts w:ascii="仿宋" w:eastAsia="仿宋" w:hAnsi="仿宋" w:cs="仿宋" w:hint="eastAsia"/>
          <w:sz w:val="32"/>
          <w:szCs w:val="32"/>
        </w:rPr>
        <w:t>、Ⅱ度皮疹和腹泻，应特别关注间质性肺炎的发生。</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5.</w:t>
      </w:r>
      <w:r>
        <w:rPr>
          <w:rFonts w:ascii="仿宋" w:eastAsia="仿宋" w:hAnsi="仿宋" w:cs="仿宋" w:hint="eastAsia"/>
          <w:sz w:val="32"/>
          <w:szCs w:val="32"/>
        </w:rPr>
        <w:t>埃克替尼主要通过CYP450系统的</w:t>
      </w:r>
      <w:r>
        <w:rPr>
          <w:rFonts w:ascii="仿宋" w:eastAsia="仿宋" w:hAnsi="仿宋" w:cs="仿宋"/>
          <w:sz w:val="32"/>
          <w:szCs w:val="32"/>
        </w:rPr>
        <w:t>CYP2C19</w:t>
      </w:r>
      <w:r>
        <w:rPr>
          <w:rFonts w:ascii="仿宋" w:eastAsia="仿宋" w:hAnsi="仿宋" w:cs="仿宋" w:hint="eastAsia"/>
          <w:sz w:val="32"/>
          <w:szCs w:val="32"/>
        </w:rPr>
        <w:t>和</w:t>
      </w:r>
      <w:r>
        <w:rPr>
          <w:rFonts w:ascii="仿宋" w:eastAsia="仿宋" w:hAnsi="仿宋" w:cs="仿宋"/>
          <w:sz w:val="32"/>
          <w:szCs w:val="32"/>
        </w:rPr>
        <w:t>CYP3A4</w:t>
      </w:r>
      <w:r>
        <w:rPr>
          <w:rFonts w:ascii="仿宋" w:eastAsia="仿宋" w:hAnsi="仿宋" w:cs="仿宋" w:hint="eastAsia"/>
          <w:sz w:val="32"/>
          <w:szCs w:val="32"/>
        </w:rPr>
        <w:t>代谢，对</w:t>
      </w:r>
      <w:r>
        <w:rPr>
          <w:rFonts w:ascii="仿宋" w:eastAsia="仿宋" w:hAnsi="仿宋" w:cs="仿宋"/>
          <w:sz w:val="32"/>
          <w:szCs w:val="32"/>
        </w:rPr>
        <w:t>CYP2C9</w:t>
      </w:r>
      <w:r>
        <w:rPr>
          <w:rFonts w:ascii="仿宋" w:eastAsia="仿宋" w:hAnsi="仿宋" w:cs="仿宋" w:hint="eastAsia"/>
          <w:sz w:val="32"/>
          <w:szCs w:val="32"/>
        </w:rPr>
        <w:t>和</w:t>
      </w:r>
      <w:r>
        <w:rPr>
          <w:rFonts w:ascii="仿宋" w:eastAsia="仿宋" w:hAnsi="仿宋" w:cs="仿宋"/>
          <w:sz w:val="32"/>
          <w:szCs w:val="32"/>
        </w:rPr>
        <w:t>CYP3A4</w:t>
      </w:r>
      <w:r>
        <w:rPr>
          <w:rFonts w:ascii="仿宋" w:eastAsia="仿宋" w:hAnsi="仿宋" w:cs="仿宋" w:hint="eastAsia"/>
          <w:sz w:val="32"/>
          <w:szCs w:val="32"/>
        </w:rPr>
        <w:t>有明显的抑制作用。</w:t>
      </w:r>
    </w:p>
    <w:p w:rsidR="00B23A40" w:rsidRDefault="00DD1A0D">
      <w:pPr>
        <w:spacing w:line="360" w:lineRule="auto"/>
        <w:ind w:firstLineChars="200" w:firstLine="640"/>
        <w:rPr>
          <w:rFonts w:ascii="仿宋" w:eastAsia="仿宋" w:hAnsi="仿宋" w:cs="Times New Roman"/>
          <w:b/>
          <w:bCs/>
          <w:sz w:val="32"/>
          <w:szCs w:val="32"/>
        </w:rPr>
      </w:pPr>
      <w:r>
        <w:rPr>
          <w:rFonts w:ascii="黑体" w:eastAsia="黑体" w:hAnsi="黑体" w:cs="黑体" w:hint="eastAsia"/>
          <w:sz w:val="32"/>
          <w:szCs w:val="32"/>
        </w:rPr>
        <w:t>四、阿法替尼</w:t>
      </w:r>
      <w:r w:rsidR="00DF0D48">
        <w:rPr>
          <w:rFonts w:ascii="黑体" w:eastAsia="黑体" w:hAnsi="黑体" w:cs="黑体" w:hint="eastAsia"/>
          <w:sz w:val="32"/>
          <w:szCs w:val="32"/>
        </w:rPr>
        <w:t>a</w:t>
      </w:r>
      <w:r w:rsidR="00DF0D48" w:rsidRPr="00DF0D48">
        <w:rPr>
          <w:rFonts w:ascii="黑体" w:eastAsia="黑体" w:hAnsi="黑体" w:cs="黑体"/>
          <w:sz w:val="32"/>
          <w:szCs w:val="32"/>
        </w:rPr>
        <w:t>fatinib</w:t>
      </w:r>
    </w:p>
    <w:p w:rsidR="00B23A40" w:rsidRDefault="00DD1A0D">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lastRenderedPageBreak/>
        <w:t>制剂与规格：</w:t>
      </w:r>
      <w:r>
        <w:rPr>
          <w:rFonts w:ascii="仿宋" w:eastAsia="仿宋" w:hAnsi="仿宋" w:cs="仿宋" w:hint="eastAsia"/>
          <w:sz w:val="32"/>
          <w:szCs w:val="32"/>
        </w:rPr>
        <w:t>片剂：</w:t>
      </w:r>
      <w:r>
        <w:rPr>
          <w:rFonts w:ascii="仿宋" w:eastAsia="仿宋" w:hAnsi="仿宋" w:cs="仿宋"/>
          <w:sz w:val="32"/>
          <w:szCs w:val="32"/>
        </w:rPr>
        <w:t>30mg</w:t>
      </w:r>
      <w:r>
        <w:rPr>
          <w:rFonts w:ascii="仿宋" w:eastAsia="仿宋" w:hAnsi="仿宋" w:cs="仿宋" w:hint="eastAsia"/>
          <w:sz w:val="32"/>
          <w:szCs w:val="32"/>
        </w:rPr>
        <w:t>、</w:t>
      </w:r>
      <w:r>
        <w:rPr>
          <w:rFonts w:ascii="仿宋" w:eastAsia="仿宋" w:hAnsi="仿宋" w:cs="仿宋"/>
          <w:sz w:val="32"/>
          <w:szCs w:val="32"/>
        </w:rPr>
        <w:t>40mg</w:t>
      </w:r>
    </w:p>
    <w:p w:rsidR="00B23A40" w:rsidRDefault="00DD1A0D">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适应证：</w:t>
      </w:r>
    </w:p>
    <w:p w:rsidR="00B23A40" w:rsidRDefault="00DD1A0D">
      <w:pPr>
        <w:tabs>
          <w:tab w:val="left" w:pos="7920"/>
        </w:tabs>
        <w:snapToGrid w:val="0"/>
        <w:spacing w:line="360" w:lineRule="auto"/>
        <w:ind w:firstLineChars="200" w:firstLine="640"/>
        <w:rPr>
          <w:rFonts w:ascii="仿宋" w:eastAsia="仿宋" w:hAnsi="仿宋" w:cs="Times New Roman"/>
          <w:kern w:val="0"/>
          <w:sz w:val="32"/>
          <w:szCs w:val="32"/>
          <w:lang w:val="en-GB"/>
        </w:rPr>
      </w:pPr>
      <w:r>
        <w:rPr>
          <w:rFonts w:ascii="仿宋" w:eastAsia="仿宋" w:hAnsi="仿宋" w:cs="仿宋"/>
          <w:kern w:val="0"/>
          <w:sz w:val="32"/>
          <w:szCs w:val="32"/>
          <w:lang w:val="en-GB"/>
        </w:rPr>
        <w:t>1.</w:t>
      </w:r>
      <w:r>
        <w:rPr>
          <w:rFonts w:ascii="仿宋" w:eastAsia="仿宋" w:hAnsi="仿宋" w:cs="仿宋" w:hint="eastAsia"/>
          <w:kern w:val="0"/>
          <w:sz w:val="32"/>
          <w:szCs w:val="32"/>
          <w:lang w:val="en-GB"/>
        </w:rPr>
        <w:t>具有</w:t>
      </w:r>
      <w:r>
        <w:rPr>
          <w:rFonts w:ascii="仿宋" w:eastAsia="仿宋" w:hAnsi="仿宋" w:cs="仿宋"/>
          <w:kern w:val="0"/>
          <w:sz w:val="32"/>
          <w:szCs w:val="32"/>
          <w:lang w:val="en-GB"/>
        </w:rPr>
        <w:t>EGFR</w:t>
      </w:r>
      <w:r>
        <w:rPr>
          <w:rFonts w:ascii="仿宋" w:eastAsia="仿宋" w:hAnsi="仿宋" w:cs="仿宋" w:hint="eastAsia"/>
          <w:kern w:val="0"/>
          <w:sz w:val="32"/>
          <w:szCs w:val="32"/>
          <w:lang w:val="en-GB"/>
        </w:rPr>
        <w:t>基因敏感突变的局部晚期或转移性</w:t>
      </w:r>
      <w:r>
        <w:rPr>
          <w:rFonts w:ascii="仿宋" w:eastAsia="仿宋" w:hAnsi="仿宋" w:cs="仿宋"/>
          <w:kern w:val="0"/>
          <w:sz w:val="32"/>
          <w:szCs w:val="32"/>
          <w:lang w:val="en-GB"/>
        </w:rPr>
        <w:t>NSCLC</w:t>
      </w:r>
      <w:r>
        <w:rPr>
          <w:rFonts w:ascii="仿宋" w:eastAsia="仿宋" w:hAnsi="仿宋" w:cs="仿宋" w:hint="eastAsia"/>
          <w:kern w:val="0"/>
          <w:sz w:val="32"/>
          <w:szCs w:val="32"/>
          <w:lang w:val="en-GB"/>
        </w:rPr>
        <w:t>，既往未接受过EGFR酪氨酸激酶抑制剂（</w:t>
      </w:r>
      <w:r>
        <w:rPr>
          <w:rFonts w:ascii="仿宋" w:eastAsia="仿宋" w:hAnsi="仿宋" w:cs="仿宋"/>
          <w:kern w:val="0"/>
          <w:sz w:val="32"/>
          <w:szCs w:val="32"/>
          <w:lang w:val="en-GB"/>
        </w:rPr>
        <w:t>EGFR-TKI</w:t>
      </w:r>
      <w:r>
        <w:rPr>
          <w:rFonts w:ascii="仿宋" w:eastAsia="仿宋" w:hAnsi="仿宋" w:cs="仿宋" w:hint="eastAsia"/>
          <w:kern w:val="0"/>
          <w:sz w:val="32"/>
          <w:szCs w:val="32"/>
          <w:lang w:val="en-GB"/>
        </w:rPr>
        <w:t>）治疗。</w:t>
      </w:r>
    </w:p>
    <w:p w:rsidR="00B23A40" w:rsidRDefault="00DD1A0D">
      <w:pPr>
        <w:tabs>
          <w:tab w:val="left" w:pos="7920"/>
        </w:tabs>
        <w:snapToGrid w:val="0"/>
        <w:spacing w:line="360" w:lineRule="auto"/>
        <w:ind w:firstLineChars="200" w:firstLine="640"/>
        <w:rPr>
          <w:rFonts w:ascii="仿宋" w:eastAsia="仿宋" w:hAnsi="仿宋" w:cs="Times New Roman"/>
          <w:kern w:val="0"/>
          <w:sz w:val="32"/>
          <w:szCs w:val="32"/>
          <w:lang w:val="en-GB"/>
        </w:rPr>
      </w:pPr>
      <w:r>
        <w:rPr>
          <w:rFonts w:ascii="仿宋" w:eastAsia="仿宋" w:hAnsi="仿宋" w:cs="仿宋"/>
          <w:kern w:val="0"/>
          <w:sz w:val="32"/>
          <w:szCs w:val="32"/>
          <w:lang w:val="en-GB"/>
        </w:rPr>
        <w:t>2.</w:t>
      </w:r>
      <w:r>
        <w:rPr>
          <w:rFonts w:ascii="仿宋" w:eastAsia="仿宋" w:hAnsi="仿宋" w:cs="仿宋" w:hint="eastAsia"/>
          <w:kern w:val="0"/>
          <w:sz w:val="32"/>
          <w:szCs w:val="32"/>
          <w:lang w:val="en-GB"/>
        </w:rPr>
        <w:t>含铂化疗期间或化疗后疾病进展的局部晚期或转移性鳞状组织学类型的NSCLC。</w:t>
      </w:r>
    </w:p>
    <w:p w:rsidR="00B23A40" w:rsidRDefault="00DD1A0D">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一线治疗</w:t>
      </w:r>
      <w:r>
        <w:rPr>
          <w:rFonts w:ascii="仿宋" w:eastAsia="仿宋" w:hAnsi="仿宋" w:cs="仿宋"/>
          <w:sz w:val="32"/>
          <w:szCs w:val="32"/>
        </w:rPr>
        <w:t>EGFR</w:t>
      </w:r>
      <w:r>
        <w:rPr>
          <w:rFonts w:ascii="仿宋" w:eastAsia="仿宋" w:hAnsi="仿宋" w:cs="仿宋" w:hint="eastAsia"/>
          <w:sz w:val="32"/>
          <w:szCs w:val="32"/>
        </w:rPr>
        <w:t>基因敏感突变的晚期</w:t>
      </w:r>
      <w:r>
        <w:rPr>
          <w:rFonts w:ascii="仿宋" w:eastAsia="仿宋" w:hAnsi="仿宋" w:cs="仿宋"/>
          <w:sz w:val="32"/>
          <w:szCs w:val="32"/>
        </w:rPr>
        <w:t>NSCLC</w:t>
      </w:r>
      <w:r>
        <w:rPr>
          <w:rFonts w:ascii="仿宋" w:eastAsia="仿宋" w:hAnsi="仿宋" w:cs="仿宋" w:hint="eastAsia"/>
          <w:sz w:val="32"/>
          <w:szCs w:val="32"/>
        </w:rPr>
        <w:t>患者，用药前必须明确有经国家药品监督管理局批准的</w:t>
      </w:r>
      <w:r>
        <w:rPr>
          <w:rFonts w:ascii="仿宋" w:eastAsia="仿宋" w:hAnsi="仿宋" w:cs="仿宋"/>
          <w:sz w:val="32"/>
          <w:szCs w:val="32"/>
        </w:rPr>
        <w:t>EGFR</w:t>
      </w:r>
      <w:r>
        <w:rPr>
          <w:rFonts w:ascii="仿宋" w:eastAsia="仿宋" w:hAnsi="仿宋" w:cs="仿宋" w:hint="eastAsia"/>
          <w:sz w:val="32"/>
          <w:szCs w:val="32"/>
        </w:rPr>
        <w:t>基因检测方法检测到的</w:t>
      </w:r>
      <w:r>
        <w:rPr>
          <w:rFonts w:ascii="仿宋" w:eastAsia="仿宋" w:hAnsi="仿宋" w:cs="仿宋"/>
          <w:sz w:val="32"/>
          <w:szCs w:val="32"/>
        </w:rPr>
        <w:t>EGFR</w:t>
      </w:r>
      <w:r>
        <w:rPr>
          <w:rFonts w:ascii="仿宋" w:eastAsia="仿宋" w:hAnsi="仿宋" w:cs="仿宋" w:hint="eastAsia"/>
          <w:sz w:val="32"/>
          <w:szCs w:val="32"/>
        </w:rPr>
        <w:t>基因敏感突变。肿瘤组织和血液均可用于</w:t>
      </w:r>
      <w:r>
        <w:rPr>
          <w:rFonts w:ascii="仿宋" w:eastAsia="仿宋" w:hAnsi="仿宋" w:cs="仿宋"/>
          <w:sz w:val="32"/>
          <w:szCs w:val="32"/>
        </w:rPr>
        <w:t>EGFR</w:t>
      </w:r>
      <w:r>
        <w:rPr>
          <w:rFonts w:ascii="仿宋" w:eastAsia="仿宋" w:hAnsi="仿宋" w:cs="仿宋" w:hint="eastAsia"/>
          <w:sz w:val="32"/>
          <w:szCs w:val="32"/>
        </w:rPr>
        <w:t>基因突变检测，但组织检测优先。</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虽然药品说明书显示阿法替尼不需进行基因检测可用于二线治疗含铂化疗期间或化疗后进展的晚期肺鳞状细胞癌患者，但仍然不推荐用于</w:t>
      </w:r>
      <w:r>
        <w:rPr>
          <w:rFonts w:ascii="仿宋" w:eastAsia="仿宋" w:hAnsi="仿宋" w:cs="仿宋"/>
          <w:sz w:val="32"/>
          <w:szCs w:val="32"/>
        </w:rPr>
        <w:t>EGFR</w:t>
      </w:r>
      <w:r>
        <w:rPr>
          <w:rFonts w:ascii="仿宋" w:eastAsia="仿宋" w:hAnsi="仿宋" w:cs="仿宋" w:hint="eastAsia"/>
          <w:sz w:val="32"/>
          <w:szCs w:val="32"/>
        </w:rPr>
        <w:t>基因突变阴性的患者。</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对于非常见</w:t>
      </w:r>
      <w:r>
        <w:rPr>
          <w:rFonts w:ascii="仿宋" w:eastAsia="仿宋" w:hAnsi="仿宋" w:cs="仿宋"/>
          <w:sz w:val="32"/>
          <w:szCs w:val="32"/>
        </w:rPr>
        <w:t>EGFR</w:t>
      </w:r>
      <w:r>
        <w:rPr>
          <w:rFonts w:ascii="仿宋" w:eastAsia="仿宋" w:hAnsi="仿宋" w:cs="仿宋" w:hint="eastAsia"/>
          <w:sz w:val="32"/>
          <w:szCs w:val="32"/>
        </w:rPr>
        <w:t>基因突变患者，优先使用阿法替尼。</w:t>
      </w:r>
    </w:p>
    <w:p w:rsidR="00B23A40" w:rsidRDefault="00DD1A0D">
      <w:pPr>
        <w:spacing w:line="360" w:lineRule="auto"/>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推荐剂量为</w:t>
      </w:r>
      <w:r>
        <w:rPr>
          <w:rFonts w:ascii="仿宋" w:eastAsia="仿宋" w:hAnsi="仿宋" w:cs="仿宋"/>
          <w:sz w:val="32"/>
          <w:szCs w:val="32"/>
        </w:rPr>
        <w:t>40mg</w:t>
      </w:r>
      <w:r>
        <w:rPr>
          <w:rFonts w:ascii="仿宋" w:eastAsia="仿宋" w:hAnsi="仿宋" w:cs="仿宋" w:hint="eastAsia"/>
          <w:sz w:val="32"/>
          <w:szCs w:val="32"/>
        </w:rPr>
        <w:t>，每日一次，可根据患者耐受性进行剂量调整，剂量调整方案见表</w:t>
      </w:r>
      <w:r>
        <w:rPr>
          <w:rFonts w:ascii="仿宋" w:eastAsia="仿宋" w:hAnsi="仿宋" w:cs="仿宋"/>
          <w:sz w:val="32"/>
          <w:szCs w:val="32"/>
        </w:rPr>
        <w:t>2</w:t>
      </w:r>
      <w:r>
        <w:rPr>
          <w:rFonts w:ascii="仿宋" w:eastAsia="仿宋" w:hAnsi="仿宋" w:cs="仿宋" w:hint="eastAsia"/>
          <w:sz w:val="32"/>
          <w:szCs w:val="32"/>
        </w:rPr>
        <w:t>。</w:t>
      </w:r>
    </w:p>
    <w:p w:rsidR="00B23A40" w:rsidRDefault="00DD1A0D">
      <w:pPr>
        <w:spacing w:line="360" w:lineRule="auto"/>
        <w:ind w:firstLineChars="200" w:firstLine="422"/>
        <w:jc w:val="center"/>
        <w:rPr>
          <w:rFonts w:ascii="仿宋" w:eastAsia="仿宋" w:hAnsi="仿宋" w:cs="Times New Roman"/>
          <w:b/>
        </w:rPr>
      </w:pPr>
      <w:r>
        <w:rPr>
          <w:rFonts w:ascii="仿宋" w:eastAsia="仿宋" w:hAnsi="仿宋" w:cs="仿宋" w:hint="eastAsia"/>
          <w:b/>
        </w:rPr>
        <w:t>表</w:t>
      </w:r>
      <w:r>
        <w:rPr>
          <w:rFonts w:ascii="仿宋" w:eastAsia="仿宋" w:hAnsi="仿宋" w:cs="仿宋"/>
          <w:b/>
        </w:rPr>
        <w:t xml:space="preserve">2  </w:t>
      </w:r>
      <w:r>
        <w:rPr>
          <w:rFonts w:ascii="仿宋" w:eastAsia="仿宋" w:hAnsi="仿宋" w:cs="仿宋" w:hint="eastAsia"/>
          <w:b/>
        </w:rPr>
        <w:t>阿法替尼推荐剂量调整方案</w:t>
      </w:r>
    </w:p>
    <w:tbl>
      <w:tblPr>
        <w:tblW w:w="8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2438"/>
        <w:gridCol w:w="2438"/>
      </w:tblGrid>
      <w:tr w:rsidR="00B23A40">
        <w:trPr>
          <w:jc w:val="center"/>
        </w:trPr>
        <w:tc>
          <w:tcPr>
            <w:tcW w:w="3260" w:type="dxa"/>
          </w:tcPr>
          <w:p w:rsidR="00B23A40" w:rsidRDefault="00DD1A0D" w:rsidP="0064405D">
            <w:pPr>
              <w:tabs>
                <w:tab w:val="left" w:pos="567"/>
              </w:tabs>
              <w:snapToGrid w:val="0"/>
              <w:spacing w:beforeLines="50" w:before="156" w:afterLines="50" w:after="156" w:line="360" w:lineRule="auto"/>
              <w:jc w:val="center"/>
              <w:rPr>
                <w:rFonts w:ascii="仿宋" w:eastAsia="仿宋" w:hAnsi="仿宋" w:cs="仿宋"/>
                <w:b/>
                <w:bCs/>
              </w:rPr>
            </w:pPr>
            <w:r>
              <w:rPr>
                <w:rFonts w:ascii="仿宋" w:eastAsia="仿宋" w:hAnsi="仿宋" w:cs="仿宋"/>
                <w:b/>
                <w:bCs/>
              </w:rPr>
              <w:t>CTCAE</w:t>
            </w:r>
            <w:r>
              <w:rPr>
                <w:rFonts w:ascii="仿宋" w:eastAsia="仿宋" w:hAnsi="仿宋" w:cs="仿宋" w:hint="eastAsia"/>
                <w:b/>
                <w:bCs/>
              </w:rPr>
              <w:t>（4.0版）</w:t>
            </w:r>
          </w:p>
          <w:p w:rsidR="00B23A40" w:rsidRDefault="00DD1A0D" w:rsidP="0064405D">
            <w:pPr>
              <w:tabs>
                <w:tab w:val="left" w:pos="567"/>
              </w:tabs>
              <w:snapToGrid w:val="0"/>
              <w:spacing w:beforeLines="50" w:before="156" w:afterLines="50" w:after="156" w:line="360" w:lineRule="auto"/>
              <w:jc w:val="center"/>
              <w:rPr>
                <w:rFonts w:ascii="仿宋" w:eastAsia="仿宋" w:hAnsi="仿宋" w:cs="Times New Roman"/>
                <w:b/>
                <w:bCs/>
              </w:rPr>
            </w:pPr>
            <w:r>
              <w:rPr>
                <w:rFonts w:ascii="仿宋" w:eastAsia="仿宋" w:hAnsi="仿宋" w:cs="仿宋" w:hint="eastAsia"/>
                <w:b/>
                <w:bCs/>
              </w:rPr>
              <w:t>药物相关不良事件</w:t>
            </w:r>
          </w:p>
        </w:tc>
        <w:tc>
          <w:tcPr>
            <w:tcW w:w="4876" w:type="dxa"/>
            <w:gridSpan w:val="2"/>
          </w:tcPr>
          <w:p w:rsidR="00B23A40" w:rsidRDefault="00DD1A0D" w:rsidP="0064405D">
            <w:pPr>
              <w:tabs>
                <w:tab w:val="left" w:pos="567"/>
              </w:tabs>
              <w:snapToGrid w:val="0"/>
              <w:spacing w:beforeLines="50" w:before="156" w:afterLines="50" w:after="156" w:line="360" w:lineRule="auto"/>
              <w:jc w:val="center"/>
              <w:rPr>
                <w:rFonts w:ascii="仿宋" w:eastAsia="仿宋" w:hAnsi="仿宋" w:cs="Times New Roman"/>
                <w:b/>
                <w:bCs/>
              </w:rPr>
            </w:pPr>
            <w:r>
              <w:rPr>
                <w:rFonts w:ascii="仿宋" w:eastAsia="仿宋" w:hAnsi="仿宋" w:cs="仿宋" w:hint="eastAsia"/>
                <w:b/>
                <w:bCs/>
              </w:rPr>
              <w:t>阿法替尼的建议给药量</w:t>
            </w:r>
          </w:p>
        </w:tc>
      </w:tr>
      <w:tr w:rsidR="00B23A40">
        <w:trPr>
          <w:jc w:val="center"/>
        </w:trPr>
        <w:tc>
          <w:tcPr>
            <w:tcW w:w="3260" w:type="dxa"/>
          </w:tcPr>
          <w:p w:rsidR="00B23A40" w:rsidRDefault="00DD1A0D" w:rsidP="0064405D">
            <w:pPr>
              <w:tabs>
                <w:tab w:val="left" w:pos="567"/>
              </w:tabs>
              <w:snapToGrid w:val="0"/>
              <w:spacing w:beforeLines="50" w:before="156" w:afterLines="50" w:after="156" w:line="360" w:lineRule="auto"/>
              <w:rPr>
                <w:rFonts w:ascii="仿宋" w:eastAsia="仿宋" w:hAnsi="仿宋" w:cs="Times New Roman"/>
              </w:rPr>
            </w:pPr>
            <w:r>
              <w:rPr>
                <w:rFonts w:ascii="仿宋" w:eastAsia="仿宋" w:hAnsi="仿宋" w:cs="仿宋"/>
              </w:rPr>
              <w:t>1</w:t>
            </w:r>
            <w:r>
              <w:rPr>
                <w:rFonts w:ascii="仿宋" w:eastAsia="仿宋" w:hAnsi="仿宋" w:cs="仿宋" w:hint="eastAsia"/>
              </w:rPr>
              <w:t>级或</w:t>
            </w:r>
            <w:r>
              <w:rPr>
                <w:rFonts w:ascii="仿宋" w:eastAsia="仿宋" w:hAnsi="仿宋" w:cs="仿宋"/>
              </w:rPr>
              <w:t>2</w:t>
            </w:r>
            <w:r>
              <w:rPr>
                <w:rFonts w:ascii="仿宋" w:eastAsia="仿宋" w:hAnsi="仿宋" w:cs="仿宋" w:hint="eastAsia"/>
              </w:rPr>
              <w:t>级</w:t>
            </w:r>
          </w:p>
        </w:tc>
        <w:tc>
          <w:tcPr>
            <w:tcW w:w="2438" w:type="dxa"/>
          </w:tcPr>
          <w:p w:rsidR="00B23A40" w:rsidRDefault="00DD1A0D" w:rsidP="0064405D">
            <w:pPr>
              <w:tabs>
                <w:tab w:val="left" w:pos="567"/>
              </w:tabs>
              <w:snapToGrid w:val="0"/>
              <w:spacing w:beforeLines="50" w:before="156" w:afterLines="50" w:after="156" w:line="360" w:lineRule="auto"/>
              <w:rPr>
                <w:rFonts w:ascii="仿宋" w:eastAsia="仿宋" w:hAnsi="仿宋" w:cs="Times New Roman"/>
              </w:rPr>
            </w:pPr>
            <w:r>
              <w:rPr>
                <w:rFonts w:ascii="仿宋" w:eastAsia="仿宋" w:hAnsi="仿宋" w:cs="仿宋" w:hint="eastAsia"/>
              </w:rPr>
              <w:t>不中断</w:t>
            </w:r>
            <w:r>
              <w:rPr>
                <w:rFonts w:ascii="仿宋" w:eastAsia="仿宋" w:hAnsi="仿宋" w:cs="仿宋"/>
                <w:vertAlign w:val="superscript"/>
              </w:rPr>
              <w:t>b</w:t>
            </w:r>
          </w:p>
        </w:tc>
        <w:tc>
          <w:tcPr>
            <w:tcW w:w="2438" w:type="dxa"/>
          </w:tcPr>
          <w:p w:rsidR="00B23A40" w:rsidRDefault="00DD1A0D" w:rsidP="0064405D">
            <w:pPr>
              <w:tabs>
                <w:tab w:val="left" w:pos="567"/>
              </w:tabs>
              <w:snapToGrid w:val="0"/>
              <w:spacing w:beforeLines="50" w:before="156" w:afterLines="50" w:after="156" w:line="360" w:lineRule="auto"/>
              <w:rPr>
                <w:rFonts w:ascii="仿宋" w:eastAsia="仿宋" w:hAnsi="仿宋" w:cs="Times New Roman"/>
              </w:rPr>
            </w:pPr>
            <w:r>
              <w:rPr>
                <w:rFonts w:ascii="仿宋" w:eastAsia="仿宋" w:hAnsi="仿宋" w:cs="仿宋" w:hint="eastAsia"/>
              </w:rPr>
              <w:t>不调整剂量</w:t>
            </w:r>
          </w:p>
        </w:tc>
      </w:tr>
      <w:tr w:rsidR="00B23A40">
        <w:trPr>
          <w:trHeight w:val="70"/>
          <w:jc w:val="center"/>
        </w:trPr>
        <w:tc>
          <w:tcPr>
            <w:tcW w:w="3260" w:type="dxa"/>
          </w:tcPr>
          <w:p w:rsidR="00B23A40" w:rsidRDefault="00DD1A0D" w:rsidP="0064405D">
            <w:pPr>
              <w:tabs>
                <w:tab w:val="left" w:pos="567"/>
              </w:tabs>
              <w:snapToGrid w:val="0"/>
              <w:spacing w:beforeLines="50" w:before="156" w:afterLines="50" w:after="156" w:line="360" w:lineRule="auto"/>
              <w:rPr>
                <w:rFonts w:ascii="仿宋" w:eastAsia="仿宋" w:hAnsi="仿宋" w:cs="Times New Roman"/>
              </w:rPr>
            </w:pPr>
            <w:r>
              <w:rPr>
                <w:rFonts w:ascii="仿宋" w:eastAsia="仿宋" w:hAnsi="仿宋" w:cs="仿宋"/>
              </w:rPr>
              <w:t>2</w:t>
            </w:r>
            <w:r>
              <w:rPr>
                <w:rFonts w:ascii="仿宋" w:eastAsia="仿宋" w:hAnsi="仿宋" w:cs="仿宋" w:hint="eastAsia"/>
              </w:rPr>
              <w:t>级（延长</w:t>
            </w:r>
            <w:r>
              <w:rPr>
                <w:rFonts w:ascii="仿宋" w:eastAsia="仿宋" w:hAnsi="仿宋" w:cs="仿宋"/>
                <w:vertAlign w:val="superscript"/>
              </w:rPr>
              <w:t>c</w:t>
            </w:r>
            <w:r>
              <w:rPr>
                <w:rFonts w:ascii="仿宋" w:eastAsia="仿宋" w:hAnsi="仿宋" w:cs="仿宋" w:hint="eastAsia"/>
              </w:rPr>
              <w:t>或不耐受）或≥</w:t>
            </w:r>
            <w:r>
              <w:rPr>
                <w:rFonts w:ascii="仿宋" w:eastAsia="仿宋" w:hAnsi="仿宋" w:cs="仿宋"/>
              </w:rPr>
              <w:t>3</w:t>
            </w:r>
            <w:r>
              <w:rPr>
                <w:rFonts w:ascii="仿宋" w:eastAsia="仿宋" w:hAnsi="仿宋" w:cs="仿宋" w:hint="eastAsia"/>
              </w:rPr>
              <w:t>级</w:t>
            </w:r>
          </w:p>
        </w:tc>
        <w:tc>
          <w:tcPr>
            <w:tcW w:w="2438" w:type="dxa"/>
          </w:tcPr>
          <w:p w:rsidR="00B23A40" w:rsidRDefault="00DD1A0D" w:rsidP="0064405D">
            <w:pPr>
              <w:tabs>
                <w:tab w:val="left" w:pos="567"/>
              </w:tabs>
              <w:snapToGrid w:val="0"/>
              <w:spacing w:beforeLines="50" w:before="156" w:afterLines="50" w:after="156" w:line="360" w:lineRule="auto"/>
              <w:rPr>
                <w:rFonts w:ascii="仿宋" w:eastAsia="仿宋" w:hAnsi="仿宋" w:cs="Times New Roman"/>
              </w:rPr>
            </w:pPr>
            <w:r>
              <w:rPr>
                <w:rFonts w:ascii="仿宋" w:eastAsia="仿宋" w:hAnsi="仿宋" w:cs="仿宋" w:hint="eastAsia"/>
              </w:rPr>
              <w:t>中断直到恢复至</w:t>
            </w:r>
            <w:r>
              <w:rPr>
                <w:rFonts w:ascii="仿宋" w:eastAsia="仿宋" w:hAnsi="仿宋" w:cs="仿宋"/>
              </w:rPr>
              <w:t>0/1</w:t>
            </w:r>
            <w:r>
              <w:rPr>
                <w:rFonts w:ascii="仿宋" w:eastAsia="仿宋" w:hAnsi="仿宋" w:cs="仿宋" w:hint="eastAsia"/>
              </w:rPr>
              <w:t>级</w:t>
            </w:r>
            <w:r>
              <w:rPr>
                <w:rFonts w:ascii="仿宋" w:eastAsia="仿宋" w:hAnsi="仿宋" w:cs="仿宋"/>
                <w:vertAlign w:val="superscript"/>
              </w:rPr>
              <w:t>b</w:t>
            </w:r>
          </w:p>
        </w:tc>
        <w:tc>
          <w:tcPr>
            <w:tcW w:w="2438" w:type="dxa"/>
          </w:tcPr>
          <w:p w:rsidR="00B23A40" w:rsidRDefault="00DD1A0D" w:rsidP="0064405D">
            <w:pPr>
              <w:tabs>
                <w:tab w:val="left" w:pos="567"/>
              </w:tabs>
              <w:snapToGrid w:val="0"/>
              <w:spacing w:beforeLines="50" w:before="156" w:afterLines="50" w:after="156" w:line="360" w:lineRule="auto"/>
              <w:rPr>
                <w:rFonts w:ascii="仿宋" w:eastAsia="仿宋" w:hAnsi="仿宋" w:cs="Times New Roman"/>
              </w:rPr>
            </w:pPr>
            <w:r>
              <w:rPr>
                <w:rFonts w:ascii="仿宋" w:eastAsia="仿宋" w:hAnsi="仿宋" w:cs="仿宋" w:hint="eastAsia"/>
              </w:rPr>
              <w:t>以减量</w:t>
            </w:r>
            <w:r>
              <w:rPr>
                <w:rFonts w:ascii="仿宋" w:eastAsia="仿宋" w:hAnsi="仿宋" w:cs="仿宋"/>
              </w:rPr>
              <w:t>10mg</w:t>
            </w:r>
            <w:r>
              <w:rPr>
                <w:rFonts w:ascii="仿宋" w:eastAsia="仿宋" w:hAnsi="仿宋" w:cs="仿宋" w:hint="eastAsia"/>
              </w:rPr>
              <w:t>递减继续</w:t>
            </w:r>
            <w:r>
              <w:rPr>
                <w:rFonts w:ascii="仿宋" w:eastAsia="仿宋" w:hAnsi="仿宋" w:cs="仿宋"/>
                <w:vertAlign w:val="superscript"/>
              </w:rPr>
              <w:t>d</w:t>
            </w:r>
          </w:p>
        </w:tc>
      </w:tr>
    </w:tbl>
    <w:p w:rsidR="00B23A40" w:rsidRDefault="00DD1A0D" w:rsidP="0064405D">
      <w:pPr>
        <w:tabs>
          <w:tab w:val="left" w:pos="1930"/>
        </w:tabs>
        <w:snapToGrid w:val="0"/>
        <w:spacing w:beforeLines="50" w:before="156" w:afterLines="50" w:after="156" w:line="360" w:lineRule="auto"/>
        <w:ind w:firstLineChars="200" w:firstLine="300"/>
        <w:rPr>
          <w:rFonts w:ascii="仿宋" w:eastAsia="仿宋" w:hAnsi="仿宋" w:cs="Times New Roman"/>
          <w:sz w:val="15"/>
          <w:szCs w:val="15"/>
          <w:vertAlign w:val="superscript"/>
        </w:rPr>
      </w:pPr>
      <w:r>
        <w:rPr>
          <w:rFonts w:ascii="仿宋" w:eastAsia="仿宋" w:hAnsi="仿宋" w:cs="仿宋"/>
          <w:sz w:val="15"/>
          <w:szCs w:val="15"/>
          <w:vertAlign w:val="superscript"/>
        </w:rPr>
        <w:lastRenderedPageBreak/>
        <w:t>a</w:t>
      </w:r>
      <w:r>
        <w:rPr>
          <w:rFonts w:ascii="仿宋" w:eastAsia="仿宋" w:hAnsi="仿宋" w:cs="仿宋" w:hint="eastAsia"/>
          <w:sz w:val="15"/>
          <w:szCs w:val="15"/>
        </w:rPr>
        <w:t>美国国立癌症研究所（</w:t>
      </w:r>
      <w:r>
        <w:rPr>
          <w:rFonts w:ascii="仿宋" w:eastAsia="仿宋" w:hAnsi="仿宋" w:cs="仿宋"/>
          <w:sz w:val="15"/>
          <w:szCs w:val="15"/>
        </w:rPr>
        <w:t>NCI</w:t>
      </w:r>
      <w:r>
        <w:rPr>
          <w:rFonts w:ascii="仿宋" w:eastAsia="仿宋" w:hAnsi="仿宋" w:cs="仿宋" w:hint="eastAsia"/>
          <w:sz w:val="15"/>
          <w:szCs w:val="15"/>
        </w:rPr>
        <w:t>）不良事件通用术语标准</w:t>
      </w:r>
      <w:r>
        <w:rPr>
          <w:rFonts w:ascii="仿宋" w:eastAsia="仿宋" w:hAnsi="仿宋" w:cs="仿宋"/>
          <w:sz w:val="15"/>
          <w:szCs w:val="15"/>
        </w:rPr>
        <w:t>3.0</w:t>
      </w:r>
      <w:r>
        <w:rPr>
          <w:rFonts w:ascii="仿宋" w:eastAsia="仿宋" w:hAnsi="仿宋" w:cs="仿宋" w:hint="eastAsia"/>
          <w:sz w:val="15"/>
          <w:szCs w:val="15"/>
        </w:rPr>
        <w:t>版。</w:t>
      </w:r>
    </w:p>
    <w:p w:rsidR="00B23A40" w:rsidRDefault="00DD1A0D" w:rsidP="0064405D">
      <w:pPr>
        <w:widowControl/>
        <w:tabs>
          <w:tab w:val="left" w:pos="567"/>
        </w:tabs>
        <w:snapToGrid w:val="0"/>
        <w:spacing w:beforeLines="50" w:before="156" w:afterLines="50" w:after="156" w:line="360" w:lineRule="auto"/>
        <w:ind w:firstLineChars="200" w:firstLine="300"/>
        <w:jc w:val="left"/>
        <w:rPr>
          <w:rFonts w:ascii="仿宋" w:eastAsia="仿宋" w:hAnsi="仿宋" w:cs="Times New Roman"/>
          <w:kern w:val="0"/>
          <w:sz w:val="15"/>
          <w:szCs w:val="15"/>
          <w:lang w:val="en-GB"/>
        </w:rPr>
      </w:pPr>
      <w:r>
        <w:rPr>
          <w:rFonts w:ascii="仿宋" w:eastAsia="仿宋" w:hAnsi="仿宋" w:cs="仿宋"/>
          <w:kern w:val="0"/>
          <w:sz w:val="15"/>
          <w:szCs w:val="15"/>
          <w:vertAlign w:val="superscript"/>
          <w:lang w:val="en-GB"/>
        </w:rPr>
        <w:t>b</w:t>
      </w:r>
      <w:r>
        <w:rPr>
          <w:rFonts w:ascii="仿宋" w:eastAsia="仿宋" w:hAnsi="仿宋" w:cs="仿宋" w:hint="eastAsia"/>
          <w:kern w:val="0"/>
          <w:sz w:val="15"/>
          <w:szCs w:val="15"/>
          <w:lang w:val="en-GB"/>
        </w:rPr>
        <w:t>发生腹泻时，应立即使用抗腹泻药物（如洛哌丁胺），并且对于持续腹泻的情况应继续用药直到腹泻停止。</w:t>
      </w:r>
    </w:p>
    <w:p w:rsidR="00B23A40" w:rsidRDefault="00DD1A0D" w:rsidP="0064405D">
      <w:pPr>
        <w:snapToGrid w:val="0"/>
        <w:spacing w:beforeLines="50" w:before="156" w:afterLines="50" w:after="156" w:line="360" w:lineRule="auto"/>
        <w:ind w:firstLineChars="200" w:firstLine="300"/>
        <w:rPr>
          <w:rFonts w:ascii="仿宋" w:eastAsia="仿宋" w:hAnsi="仿宋" w:cs="Times New Roman"/>
          <w:sz w:val="15"/>
          <w:szCs w:val="15"/>
        </w:rPr>
      </w:pPr>
      <w:r>
        <w:rPr>
          <w:rFonts w:ascii="仿宋" w:eastAsia="仿宋" w:hAnsi="仿宋" w:cs="仿宋"/>
          <w:sz w:val="15"/>
          <w:szCs w:val="15"/>
          <w:vertAlign w:val="superscript"/>
        </w:rPr>
        <w:t>c</w:t>
      </w:r>
      <w:r>
        <w:rPr>
          <w:rFonts w:ascii="仿宋" w:eastAsia="仿宋" w:hAnsi="仿宋" w:cs="仿宋" w:hint="eastAsia"/>
          <w:sz w:val="15"/>
          <w:szCs w:val="15"/>
        </w:rPr>
        <w:t>腹泻＞</w:t>
      </w:r>
      <w:r>
        <w:rPr>
          <w:rFonts w:ascii="仿宋" w:eastAsia="仿宋" w:hAnsi="仿宋" w:cs="仿宋"/>
          <w:sz w:val="15"/>
          <w:szCs w:val="15"/>
        </w:rPr>
        <w:t>48</w:t>
      </w:r>
      <w:r>
        <w:rPr>
          <w:rFonts w:ascii="仿宋" w:eastAsia="仿宋" w:hAnsi="仿宋" w:cs="仿宋" w:hint="eastAsia"/>
          <w:sz w:val="15"/>
          <w:szCs w:val="15"/>
        </w:rPr>
        <w:t>小时和</w:t>
      </w:r>
      <w:r>
        <w:rPr>
          <w:rFonts w:ascii="仿宋" w:eastAsia="仿宋" w:hAnsi="仿宋" w:cs="仿宋"/>
          <w:sz w:val="15"/>
          <w:szCs w:val="15"/>
        </w:rPr>
        <w:t>/</w:t>
      </w:r>
      <w:r>
        <w:rPr>
          <w:rFonts w:ascii="仿宋" w:eastAsia="仿宋" w:hAnsi="仿宋" w:cs="仿宋" w:hint="eastAsia"/>
          <w:sz w:val="15"/>
          <w:szCs w:val="15"/>
        </w:rPr>
        <w:t>或皮疹＞</w:t>
      </w:r>
      <w:r>
        <w:rPr>
          <w:rFonts w:ascii="仿宋" w:eastAsia="仿宋" w:hAnsi="仿宋" w:cs="仿宋"/>
          <w:sz w:val="15"/>
          <w:szCs w:val="15"/>
        </w:rPr>
        <w:t>7</w:t>
      </w:r>
      <w:r>
        <w:rPr>
          <w:rFonts w:ascii="仿宋" w:eastAsia="仿宋" w:hAnsi="仿宋" w:cs="仿宋" w:hint="eastAsia"/>
          <w:sz w:val="15"/>
          <w:szCs w:val="15"/>
        </w:rPr>
        <w:t>天。</w:t>
      </w:r>
    </w:p>
    <w:p w:rsidR="00B23A40" w:rsidRDefault="00DD1A0D" w:rsidP="0064405D">
      <w:pPr>
        <w:tabs>
          <w:tab w:val="left" w:pos="1930"/>
        </w:tabs>
        <w:snapToGrid w:val="0"/>
        <w:spacing w:beforeLines="50" w:before="156" w:afterLines="50" w:after="156" w:line="360" w:lineRule="auto"/>
        <w:ind w:firstLineChars="200" w:firstLine="300"/>
        <w:rPr>
          <w:rFonts w:ascii="仿宋" w:eastAsia="仿宋" w:hAnsi="仿宋" w:cs="Times New Roman"/>
          <w:sz w:val="15"/>
          <w:szCs w:val="15"/>
        </w:rPr>
      </w:pPr>
      <w:r>
        <w:rPr>
          <w:rFonts w:ascii="仿宋" w:eastAsia="仿宋" w:hAnsi="仿宋" w:cs="仿宋"/>
          <w:sz w:val="15"/>
          <w:szCs w:val="15"/>
          <w:vertAlign w:val="superscript"/>
        </w:rPr>
        <w:t>d</w:t>
      </w:r>
      <w:r>
        <w:rPr>
          <w:rFonts w:ascii="仿宋" w:eastAsia="仿宋" w:hAnsi="仿宋" w:cs="仿宋" w:hint="eastAsia"/>
          <w:sz w:val="15"/>
          <w:szCs w:val="15"/>
        </w:rPr>
        <w:t>如果患者不能耐受每天</w:t>
      </w:r>
      <w:r>
        <w:rPr>
          <w:rFonts w:ascii="仿宋" w:eastAsia="仿宋" w:hAnsi="仿宋" w:cs="仿宋"/>
          <w:sz w:val="15"/>
          <w:szCs w:val="15"/>
        </w:rPr>
        <w:t>20mg</w:t>
      </w:r>
      <w:r>
        <w:rPr>
          <w:rFonts w:ascii="仿宋" w:eastAsia="仿宋" w:hAnsi="仿宋" w:cs="仿宋" w:hint="eastAsia"/>
          <w:sz w:val="15"/>
          <w:szCs w:val="15"/>
        </w:rPr>
        <w:t>，应考虑永久停用本品。</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5.</w:t>
      </w:r>
      <w:r>
        <w:rPr>
          <w:rFonts w:ascii="仿宋" w:eastAsia="仿宋" w:hAnsi="仿宋" w:cs="仿宋" w:hint="eastAsia"/>
          <w:sz w:val="32"/>
          <w:szCs w:val="32"/>
        </w:rPr>
        <w:t>对于临床医生评价为耐受性差的患者，可使用</w:t>
      </w:r>
      <w:r>
        <w:rPr>
          <w:rFonts w:ascii="仿宋" w:eastAsia="仿宋" w:hAnsi="仿宋" w:cs="仿宋"/>
          <w:sz w:val="32"/>
          <w:szCs w:val="32"/>
        </w:rPr>
        <w:t>30mg</w:t>
      </w:r>
      <w:r>
        <w:rPr>
          <w:rFonts w:ascii="仿宋" w:eastAsia="仿宋" w:hAnsi="仿宋" w:cs="仿宋" w:hint="eastAsia"/>
          <w:sz w:val="32"/>
          <w:szCs w:val="32"/>
        </w:rPr>
        <w:t>作为推荐剂量。</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6.</w:t>
      </w:r>
      <w:r>
        <w:rPr>
          <w:rFonts w:ascii="仿宋" w:eastAsia="仿宋" w:hAnsi="仿宋" w:cs="仿宋" w:hint="eastAsia"/>
          <w:sz w:val="32"/>
          <w:szCs w:val="32"/>
        </w:rPr>
        <w:t>阿法替尼不应与食物同服，应当在进食后至少</w:t>
      </w:r>
      <w:r>
        <w:rPr>
          <w:rFonts w:ascii="仿宋" w:eastAsia="仿宋" w:hAnsi="仿宋" w:cs="仿宋"/>
          <w:sz w:val="32"/>
          <w:szCs w:val="32"/>
        </w:rPr>
        <w:t>3</w:t>
      </w:r>
      <w:r>
        <w:rPr>
          <w:rFonts w:ascii="仿宋" w:eastAsia="仿宋" w:hAnsi="仿宋" w:cs="仿宋" w:hint="eastAsia"/>
          <w:sz w:val="32"/>
          <w:szCs w:val="32"/>
        </w:rPr>
        <w:t>小时或进食前至少</w:t>
      </w:r>
      <w:r>
        <w:rPr>
          <w:rFonts w:ascii="仿宋" w:eastAsia="仿宋" w:hAnsi="仿宋" w:cs="仿宋"/>
          <w:sz w:val="32"/>
          <w:szCs w:val="32"/>
        </w:rPr>
        <w:t>1</w:t>
      </w:r>
      <w:r>
        <w:rPr>
          <w:rFonts w:ascii="仿宋" w:eastAsia="仿宋" w:hAnsi="仿宋" w:cs="仿宋" w:hint="eastAsia"/>
          <w:sz w:val="32"/>
          <w:szCs w:val="32"/>
        </w:rPr>
        <w:t>小时服用。</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7.</w:t>
      </w:r>
      <w:r>
        <w:rPr>
          <w:rFonts w:ascii="仿宋" w:eastAsia="仿宋" w:hAnsi="仿宋" w:cs="仿宋" w:hint="eastAsia"/>
          <w:sz w:val="32"/>
          <w:szCs w:val="32"/>
        </w:rPr>
        <w:t>用药期间必须注意腹泻、皮肤相关不良反应、间质性肺炎等不良事件。</w:t>
      </w:r>
    </w:p>
    <w:p w:rsidR="00B23A40" w:rsidRDefault="00DD1A0D">
      <w:pPr>
        <w:spacing w:line="360" w:lineRule="auto"/>
        <w:ind w:firstLineChars="200" w:firstLine="640"/>
        <w:rPr>
          <w:rFonts w:ascii="仿宋" w:eastAsia="仿宋" w:hAnsi="仿宋" w:cs="仿宋"/>
          <w:sz w:val="32"/>
          <w:szCs w:val="32"/>
        </w:rPr>
      </w:pPr>
      <w:r>
        <w:rPr>
          <w:rFonts w:ascii="仿宋" w:eastAsia="仿宋" w:hAnsi="仿宋" w:cs="仿宋"/>
          <w:sz w:val="32"/>
          <w:szCs w:val="32"/>
        </w:rPr>
        <w:t>8.</w:t>
      </w:r>
      <w:r>
        <w:rPr>
          <w:rFonts w:ascii="仿宋" w:eastAsia="仿宋" w:hAnsi="仿宋" w:cs="仿宋" w:hint="eastAsia"/>
          <w:sz w:val="32"/>
          <w:szCs w:val="32"/>
        </w:rPr>
        <w:t>如需要使用</w:t>
      </w:r>
      <w:r>
        <w:rPr>
          <w:rFonts w:ascii="仿宋" w:eastAsia="仿宋" w:hAnsi="仿宋" w:cs="仿宋"/>
          <w:sz w:val="32"/>
          <w:szCs w:val="32"/>
        </w:rPr>
        <w:t>P-糖蛋白</w:t>
      </w:r>
      <w:r>
        <w:rPr>
          <w:rFonts w:ascii="仿宋" w:eastAsia="仿宋" w:hAnsi="仿宋" w:cs="仿宋" w:hint="eastAsia"/>
          <w:sz w:val="32"/>
          <w:szCs w:val="32"/>
        </w:rPr>
        <w:t>（</w:t>
      </w:r>
      <w:r>
        <w:rPr>
          <w:rFonts w:ascii="仿宋" w:eastAsia="仿宋" w:hAnsi="仿宋" w:cs="仿宋"/>
          <w:sz w:val="32"/>
          <w:szCs w:val="32"/>
        </w:rPr>
        <w:t>P-gp</w:t>
      </w:r>
      <w:r>
        <w:rPr>
          <w:rFonts w:ascii="仿宋" w:eastAsia="仿宋" w:hAnsi="仿宋" w:cs="仿宋" w:hint="eastAsia"/>
          <w:sz w:val="32"/>
          <w:szCs w:val="32"/>
        </w:rPr>
        <w:t>）抑制剂，应采用交错剂量给药，尽可能延长与阿法替尼给药的间隔时间。P-gp抑制剂应在阿法替尼给药后间隔6小时（P-gp抑制剂每天两次给药）或12小时（P-gp抑制剂每天一次给药）给药。</w:t>
      </w:r>
    </w:p>
    <w:p w:rsidR="00B23A40" w:rsidRDefault="00DD1A0D">
      <w:pPr>
        <w:spacing w:line="360" w:lineRule="auto"/>
        <w:ind w:firstLineChars="200" w:firstLine="640"/>
        <w:rPr>
          <w:rFonts w:ascii="仿宋" w:eastAsia="仿宋" w:hAnsi="仿宋" w:cs="仿宋"/>
          <w:sz w:val="32"/>
          <w:szCs w:val="32"/>
        </w:rPr>
      </w:pPr>
      <w:r>
        <w:rPr>
          <w:rFonts w:ascii="仿宋" w:eastAsia="仿宋" w:hAnsi="仿宋" w:cs="仿宋"/>
          <w:sz w:val="32"/>
          <w:szCs w:val="32"/>
        </w:rPr>
        <w:t>9</w:t>
      </w:r>
      <w:r>
        <w:rPr>
          <w:rFonts w:ascii="仿宋" w:eastAsia="仿宋" w:hAnsi="仿宋" w:cs="仿宋" w:hint="eastAsia"/>
          <w:sz w:val="32"/>
          <w:szCs w:val="32"/>
        </w:rPr>
        <w:t>.阿法替尼不通过CYP酶系代谢，体外试验研究显示与CYP抑制剂或诱导剂联用时，对阿法替尼的暴露量无明显影响。</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10.本品含有乳糖，患有罕见遗传性半乳糖不耐症、乳糖酶缺乏症或葡萄糖-半乳糖吸收不良的患者不应服用此药品。</w:t>
      </w:r>
    </w:p>
    <w:p w:rsidR="00B23A40" w:rsidRDefault="00DD1A0D">
      <w:pPr>
        <w:ind w:firstLineChars="200" w:firstLine="640"/>
        <w:rPr>
          <w:rFonts w:ascii="黑体" w:eastAsia="黑体" w:hAnsi="黑体"/>
          <w:color w:val="000000"/>
          <w:sz w:val="32"/>
          <w:szCs w:val="32"/>
        </w:rPr>
      </w:pPr>
      <w:r>
        <w:rPr>
          <w:rFonts w:ascii="黑体" w:eastAsia="黑体" w:hAnsi="黑体" w:hint="eastAsia"/>
          <w:color w:val="000000"/>
          <w:sz w:val="32"/>
          <w:szCs w:val="32"/>
        </w:rPr>
        <w:t>五、达可替尼 dacomitinib</w:t>
      </w:r>
    </w:p>
    <w:p w:rsidR="00B23A40" w:rsidRDefault="00DD1A0D">
      <w:pPr>
        <w:ind w:firstLineChars="200" w:firstLine="643"/>
        <w:rPr>
          <w:rFonts w:ascii="仿宋" w:eastAsia="仿宋" w:hAnsi="仿宋"/>
          <w:color w:val="000000"/>
          <w:sz w:val="32"/>
          <w:szCs w:val="32"/>
        </w:rPr>
      </w:pPr>
      <w:r>
        <w:rPr>
          <w:rFonts w:ascii="仿宋" w:eastAsia="仿宋" w:hAnsi="仿宋" w:hint="eastAsia"/>
          <w:b/>
          <w:color w:val="000000"/>
          <w:sz w:val="32"/>
          <w:szCs w:val="32"/>
        </w:rPr>
        <w:t>制剂与规格：</w:t>
      </w:r>
      <w:r>
        <w:rPr>
          <w:rFonts w:ascii="仿宋" w:eastAsia="仿宋" w:hAnsi="仿宋" w:hint="eastAsia"/>
          <w:color w:val="000000"/>
          <w:sz w:val="32"/>
          <w:szCs w:val="32"/>
        </w:rPr>
        <w:t>片剂：15mg、45mg，目前中国仅上市15mg规格。</w:t>
      </w:r>
    </w:p>
    <w:p w:rsidR="00B23A40" w:rsidRDefault="00DD1A0D">
      <w:pPr>
        <w:ind w:firstLineChars="200" w:firstLine="643"/>
        <w:rPr>
          <w:rFonts w:ascii="仿宋" w:eastAsia="仿宋" w:hAnsi="仿宋"/>
          <w:color w:val="000000"/>
          <w:sz w:val="32"/>
          <w:szCs w:val="32"/>
        </w:rPr>
      </w:pPr>
      <w:r>
        <w:rPr>
          <w:rFonts w:ascii="仿宋" w:eastAsia="仿宋" w:hAnsi="仿宋" w:hint="eastAsia"/>
          <w:b/>
          <w:color w:val="000000"/>
          <w:sz w:val="32"/>
          <w:szCs w:val="32"/>
        </w:rPr>
        <w:lastRenderedPageBreak/>
        <w:t>适应证：</w:t>
      </w:r>
      <w:r>
        <w:rPr>
          <w:rFonts w:ascii="仿宋" w:eastAsia="仿宋" w:hAnsi="仿宋" w:hint="eastAsia"/>
          <w:color w:val="000000"/>
          <w:sz w:val="32"/>
          <w:szCs w:val="32"/>
        </w:rPr>
        <w:t>单药用于EGFR19外显子缺失突变或21外显子L858R置换突变的局部晚期或转移性NSCLC患者的一线治疗。</w:t>
      </w:r>
    </w:p>
    <w:p w:rsidR="00B23A40" w:rsidRDefault="00DD1A0D">
      <w:pPr>
        <w:ind w:firstLineChars="200" w:firstLine="643"/>
        <w:rPr>
          <w:rFonts w:ascii="仿宋" w:eastAsia="仿宋" w:hAnsi="仿宋"/>
          <w:b/>
          <w:color w:val="000000"/>
          <w:sz w:val="32"/>
          <w:szCs w:val="32"/>
        </w:rPr>
      </w:pPr>
      <w:r>
        <w:rPr>
          <w:rFonts w:ascii="仿宋" w:eastAsia="仿宋" w:hAnsi="仿宋" w:hint="eastAsia"/>
          <w:b/>
          <w:color w:val="000000"/>
          <w:sz w:val="32"/>
          <w:szCs w:val="32"/>
        </w:rPr>
        <w:t>合理用药要点：</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1.用药前必须明确有经国家药品监督管理局批准的EGFR基因检测方法检测到的EGFR19外显子缺失突变或21外显子L858R置换突变阳性的患者。</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2.建议患者接受本药物治疗直到疾病进展或出现无法耐受的毒性。</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3.推荐剂量为45mg口服，每日一次，可与食物同服，也可不与食物同服。对于临床医生评价为耐受性差的年老体弱患者，起始剂量可从30mg口服、每日一次开始。</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olor w:val="000000"/>
          <w:sz w:val="32"/>
          <w:szCs w:val="32"/>
        </w:rPr>
        <w:t>4</w:t>
      </w:r>
      <w:r>
        <w:rPr>
          <w:rFonts w:ascii="仿宋" w:eastAsia="仿宋" w:hAnsi="仿宋" w:hint="eastAsia"/>
          <w:color w:val="000000"/>
          <w:sz w:val="32"/>
          <w:szCs w:val="32"/>
        </w:rPr>
        <w:t>. 达可替尼常见不良反应为腹泻（87%）、皮疹（69%）、甲沟炎（64%）、口腔黏膜炎（45%）、皮肤干燥（30%）等。</w:t>
      </w:r>
      <w:r>
        <w:rPr>
          <w:rFonts w:ascii="仿宋" w:eastAsia="仿宋" w:hAnsi="仿宋" w:cs="仿宋" w:hint="eastAsia"/>
          <w:sz w:val="32"/>
          <w:szCs w:val="32"/>
        </w:rPr>
        <w:t>应特别关注间质性肺炎的发生。</w:t>
      </w:r>
    </w:p>
    <w:p w:rsidR="00B23A40" w:rsidRDefault="00DD1A0D">
      <w:pPr>
        <w:ind w:firstLineChars="200" w:firstLine="640"/>
        <w:rPr>
          <w:rFonts w:ascii="仿宋" w:eastAsia="仿宋" w:hAnsi="仿宋"/>
          <w:color w:val="000000"/>
          <w:sz w:val="32"/>
          <w:szCs w:val="32"/>
        </w:rPr>
      </w:pPr>
      <w:r>
        <w:rPr>
          <w:rFonts w:ascii="仿宋" w:eastAsia="仿宋" w:hAnsi="仿宋"/>
          <w:color w:val="000000"/>
          <w:sz w:val="32"/>
          <w:szCs w:val="32"/>
        </w:rPr>
        <w:t>5</w:t>
      </w:r>
      <w:r>
        <w:rPr>
          <w:rFonts w:ascii="仿宋" w:eastAsia="仿宋" w:hAnsi="仿宋" w:hint="eastAsia"/>
          <w:color w:val="000000"/>
          <w:sz w:val="32"/>
          <w:szCs w:val="32"/>
        </w:rPr>
        <w:t>.如果出现不良反应，应根据患者的耐受性，以每次减量15mg的方式逐步降低本品的剂量：（1）首次减量至30mg，每日一次；（2）第二次减量至15mg，每日一次。如果患者不耐受15mg，每日一次的给药剂量，应该永久停用。在呼吸系统症状恶化且可能预示间质性肺炎（例如呼吸困难、咳嗽和发热）的患者中暂时停用本品并立即进行间质性肺炎的诊断。如果确诊为任何级别的间质性肺炎，则永久停用本品。</w:t>
      </w:r>
    </w:p>
    <w:p w:rsidR="00B23A40" w:rsidRDefault="00DD1A0D">
      <w:pPr>
        <w:ind w:firstLineChars="200" w:firstLine="640"/>
        <w:rPr>
          <w:rFonts w:ascii="仿宋" w:eastAsia="仿宋" w:hAnsi="仿宋"/>
          <w:color w:val="000000"/>
          <w:sz w:val="32"/>
          <w:szCs w:val="32"/>
        </w:rPr>
      </w:pPr>
      <w:r>
        <w:rPr>
          <w:rFonts w:ascii="仿宋" w:eastAsia="仿宋" w:hAnsi="仿宋"/>
          <w:color w:val="000000"/>
          <w:sz w:val="32"/>
          <w:szCs w:val="32"/>
        </w:rPr>
        <w:t>6</w:t>
      </w:r>
      <w:r>
        <w:rPr>
          <w:rFonts w:ascii="仿宋" w:eastAsia="仿宋" w:hAnsi="仿宋" w:hint="eastAsia"/>
          <w:color w:val="000000"/>
          <w:sz w:val="32"/>
          <w:szCs w:val="32"/>
        </w:rPr>
        <w:t>.不建议对轻度或中度肾功能或肝功能损伤的患者调</w:t>
      </w:r>
      <w:r>
        <w:rPr>
          <w:rFonts w:ascii="仿宋" w:eastAsia="仿宋" w:hAnsi="仿宋" w:hint="eastAsia"/>
          <w:color w:val="000000"/>
          <w:sz w:val="32"/>
          <w:szCs w:val="32"/>
        </w:rPr>
        <w:lastRenderedPageBreak/>
        <w:t>整剂量。尚未确定重度肾功能或肝功能损伤患者的本品推荐剂量。</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7.服用本品时，避免同时使用质子泵抑制剂。可使用局部作用的抗酸剂或H</w:t>
      </w:r>
      <w:r>
        <w:rPr>
          <w:rFonts w:ascii="仿宋" w:eastAsia="仿宋" w:hAnsi="仿宋" w:hint="eastAsia"/>
          <w:color w:val="000000"/>
          <w:sz w:val="32"/>
          <w:szCs w:val="32"/>
          <w:vertAlign w:val="subscript"/>
        </w:rPr>
        <w:t>2</w:t>
      </w:r>
      <w:r>
        <w:rPr>
          <w:rFonts w:ascii="仿宋" w:eastAsia="仿宋" w:hAnsi="仿宋" w:hint="eastAsia"/>
          <w:color w:val="000000"/>
          <w:sz w:val="32"/>
          <w:szCs w:val="32"/>
        </w:rPr>
        <w:t>受体拮抗剂代替质子泵抑制剂；必须临时服用H</w:t>
      </w:r>
      <w:r>
        <w:rPr>
          <w:rFonts w:ascii="仿宋" w:eastAsia="仿宋" w:hAnsi="仿宋" w:hint="eastAsia"/>
          <w:color w:val="000000"/>
          <w:sz w:val="32"/>
          <w:szCs w:val="32"/>
          <w:vertAlign w:val="subscript"/>
        </w:rPr>
        <w:t>2</w:t>
      </w:r>
      <w:r>
        <w:rPr>
          <w:rFonts w:ascii="仿宋" w:eastAsia="仿宋" w:hAnsi="仿宋" w:hint="eastAsia"/>
          <w:color w:val="000000"/>
          <w:sz w:val="32"/>
          <w:szCs w:val="32"/>
        </w:rPr>
        <w:t>受体拮抗剂的情况下，至少提前6小时或滞后10小时后给予本品。</w:t>
      </w:r>
    </w:p>
    <w:p w:rsidR="00B23A40" w:rsidRDefault="00DD1A0D">
      <w:pPr>
        <w:ind w:firstLineChars="200" w:firstLine="640"/>
        <w:rPr>
          <w:rFonts w:ascii="仿宋" w:eastAsia="仿宋" w:hAnsi="仿宋"/>
          <w:color w:val="000000"/>
          <w:sz w:val="32"/>
          <w:szCs w:val="32"/>
        </w:rPr>
      </w:pPr>
      <w:r>
        <w:rPr>
          <w:rFonts w:ascii="仿宋" w:eastAsia="仿宋" w:hAnsi="仿宋"/>
          <w:color w:val="000000"/>
          <w:sz w:val="32"/>
          <w:szCs w:val="32"/>
        </w:rPr>
        <w:t>8</w:t>
      </w:r>
      <w:r>
        <w:rPr>
          <w:rFonts w:ascii="仿宋" w:eastAsia="仿宋" w:hAnsi="仿宋" w:hint="eastAsia"/>
          <w:color w:val="000000"/>
          <w:sz w:val="32"/>
          <w:szCs w:val="32"/>
        </w:rPr>
        <w:t>.服用本品时，避免同时使用CYP2D6底物，因为CYP2D6底物浓度略微增加可能产生严重的或危及生命的毒性。</w:t>
      </w:r>
    </w:p>
    <w:p w:rsidR="00B23A40" w:rsidRDefault="00DD1A0D">
      <w:pPr>
        <w:widowControl/>
        <w:autoSpaceDE w:val="0"/>
        <w:autoSpaceDN w:val="0"/>
        <w:adjustRightInd w:val="0"/>
        <w:spacing w:line="360" w:lineRule="auto"/>
        <w:ind w:firstLineChars="200" w:firstLine="640"/>
        <w:jc w:val="left"/>
        <w:rPr>
          <w:rFonts w:ascii="黑体" w:eastAsia="黑体" w:hAnsi="黑体" w:cs="Times New Roman"/>
          <w:color w:val="000000"/>
          <w:kern w:val="0"/>
          <w:sz w:val="32"/>
          <w:szCs w:val="32"/>
          <w:lang w:val="it-IT"/>
        </w:rPr>
      </w:pPr>
      <w:r>
        <w:rPr>
          <w:rFonts w:ascii="黑体" w:eastAsia="黑体" w:hAnsi="黑体" w:cs="黑体" w:hint="eastAsia"/>
          <w:sz w:val="32"/>
          <w:szCs w:val="32"/>
          <w:lang w:val="it-IT"/>
        </w:rPr>
        <w:t>六、</w:t>
      </w:r>
      <w:r>
        <w:rPr>
          <w:rFonts w:ascii="黑体" w:eastAsia="黑体" w:hAnsi="黑体" w:cs="黑体" w:hint="eastAsia"/>
          <w:sz w:val="32"/>
          <w:szCs w:val="32"/>
        </w:rPr>
        <w:t>奥希替尼 o</w:t>
      </w:r>
      <w:r>
        <w:rPr>
          <w:rFonts w:ascii="黑体" w:eastAsia="黑体" w:hAnsi="黑体" w:cs="黑体"/>
          <w:sz w:val="32"/>
          <w:szCs w:val="32"/>
        </w:rPr>
        <w:t>simertinib</w:t>
      </w:r>
    </w:p>
    <w:p w:rsidR="00B23A40" w:rsidRDefault="00DD1A0D">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片剂：</w:t>
      </w:r>
      <w:r>
        <w:rPr>
          <w:rFonts w:ascii="仿宋" w:eastAsia="仿宋" w:hAnsi="仿宋" w:cs="仿宋"/>
          <w:sz w:val="32"/>
          <w:szCs w:val="32"/>
        </w:rPr>
        <w:t>40mg</w:t>
      </w:r>
      <w:r>
        <w:rPr>
          <w:rFonts w:ascii="仿宋" w:eastAsia="仿宋" w:hAnsi="仿宋" w:cs="仿宋" w:hint="eastAsia"/>
          <w:sz w:val="32"/>
          <w:szCs w:val="32"/>
        </w:rPr>
        <w:t>、</w:t>
      </w:r>
      <w:r>
        <w:rPr>
          <w:rFonts w:ascii="仿宋" w:eastAsia="仿宋" w:hAnsi="仿宋" w:cs="仿宋"/>
          <w:sz w:val="32"/>
          <w:szCs w:val="32"/>
        </w:rPr>
        <w:t>80mg</w:t>
      </w:r>
    </w:p>
    <w:p w:rsidR="00B23A40" w:rsidRDefault="00DD1A0D">
      <w:pPr>
        <w:spacing w:line="360" w:lineRule="auto"/>
        <w:ind w:firstLineChars="200" w:firstLine="643"/>
        <w:rPr>
          <w:rFonts w:ascii="仿宋" w:eastAsia="仿宋" w:hAnsi="仿宋" w:cs="仿宋"/>
          <w:b/>
          <w:bCs/>
          <w:sz w:val="32"/>
          <w:szCs w:val="32"/>
        </w:rPr>
      </w:pPr>
      <w:r>
        <w:rPr>
          <w:rFonts w:ascii="仿宋" w:eastAsia="仿宋" w:hAnsi="仿宋" w:cs="仿宋" w:hint="eastAsia"/>
          <w:b/>
          <w:bCs/>
          <w:sz w:val="32"/>
          <w:szCs w:val="32"/>
        </w:rPr>
        <w:t>适应证：</w:t>
      </w:r>
    </w:p>
    <w:p w:rsidR="00B23A40" w:rsidRDefault="00DD1A0D">
      <w:pPr>
        <w:spacing w:line="360" w:lineRule="auto"/>
        <w:ind w:firstLineChars="200" w:firstLine="640"/>
        <w:rPr>
          <w:rFonts w:ascii="仿宋" w:eastAsia="仿宋" w:hAnsi="仿宋" w:cs="仿宋"/>
          <w:bCs/>
          <w:sz w:val="32"/>
          <w:szCs w:val="32"/>
        </w:rPr>
      </w:pPr>
      <w:r>
        <w:rPr>
          <w:rFonts w:ascii="仿宋" w:eastAsia="仿宋" w:hAnsi="仿宋" w:cs="仿宋" w:hint="eastAsia"/>
          <w:bCs/>
          <w:sz w:val="32"/>
          <w:szCs w:val="32"/>
        </w:rPr>
        <w:t>1.具有</w:t>
      </w:r>
      <w:r>
        <w:rPr>
          <w:rFonts w:ascii="仿宋" w:eastAsia="仿宋" w:hAnsi="仿宋" w:cs="仿宋"/>
          <w:bCs/>
          <w:sz w:val="32"/>
          <w:szCs w:val="32"/>
        </w:rPr>
        <w:t>EGFR</w:t>
      </w:r>
      <w:r>
        <w:rPr>
          <w:rFonts w:ascii="仿宋" w:eastAsia="仿宋" w:hAnsi="仿宋" w:cs="仿宋" w:hint="eastAsia"/>
          <w:bCs/>
          <w:sz w:val="32"/>
          <w:szCs w:val="32"/>
        </w:rPr>
        <w:t>外显子</w:t>
      </w:r>
      <w:r>
        <w:rPr>
          <w:rFonts w:ascii="仿宋" w:eastAsia="仿宋" w:hAnsi="仿宋" w:cs="仿宋"/>
          <w:bCs/>
          <w:sz w:val="32"/>
          <w:szCs w:val="32"/>
        </w:rPr>
        <w:t>19缺失或外显子21（L858R）置换突变的局部晚期或转移性NSCLC成人患者的一线治疗。</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2.既往经</w:t>
      </w:r>
      <w:r>
        <w:rPr>
          <w:rFonts w:ascii="仿宋" w:eastAsia="仿宋" w:hAnsi="仿宋" w:cs="仿宋"/>
          <w:sz w:val="32"/>
          <w:szCs w:val="32"/>
        </w:rPr>
        <w:t>EGFR-TKI</w:t>
      </w:r>
      <w:r>
        <w:rPr>
          <w:rFonts w:ascii="仿宋" w:eastAsia="仿宋" w:hAnsi="仿宋" w:cs="仿宋" w:hint="eastAsia"/>
          <w:sz w:val="32"/>
          <w:szCs w:val="32"/>
        </w:rPr>
        <w:t>治疗时或治疗后出现疾病进展，并且经检测确认存在</w:t>
      </w:r>
      <w:r>
        <w:rPr>
          <w:rFonts w:ascii="仿宋" w:eastAsia="仿宋" w:hAnsi="仿宋" w:cs="仿宋"/>
          <w:sz w:val="32"/>
          <w:szCs w:val="32"/>
        </w:rPr>
        <w:t>EGFR-T790M</w:t>
      </w:r>
      <w:r>
        <w:rPr>
          <w:rFonts w:ascii="仿宋" w:eastAsia="仿宋" w:hAnsi="仿宋" w:cs="仿宋" w:hint="eastAsia"/>
          <w:sz w:val="32"/>
          <w:szCs w:val="32"/>
        </w:rPr>
        <w:t>突变阳性</w:t>
      </w:r>
      <w:r>
        <w:rPr>
          <w:rFonts w:ascii="仿宋" w:eastAsia="仿宋" w:hAnsi="仿宋" w:cs="仿宋" w:hint="eastAsia"/>
          <w:w w:val="98"/>
          <w:sz w:val="32"/>
          <w:szCs w:val="32"/>
        </w:rPr>
        <w:t>的局部晚期或转移性</w:t>
      </w:r>
      <w:r>
        <w:rPr>
          <w:rFonts w:ascii="仿宋" w:eastAsia="仿宋" w:hAnsi="仿宋" w:cs="仿宋"/>
          <w:w w:val="98"/>
          <w:sz w:val="32"/>
          <w:szCs w:val="32"/>
        </w:rPr>
        <w:t>NSCLC</w:t>
      </w:r>
      <w:r>
        <w:rPr>
          <w:rFonts w:ascii="仿宋" w:eastAsia="仿宋" w:hAnsi="仿宋" w:cs="仿宋" w:hint="eastAsia"/>
          <w:w w:val="98"/>
          <w:sz w:val="32"/>
          <w:szCs w:val="32"/>
        </w:rPr>
        <w:t>成人患者的治疗。</w:t>
      </w:r>
    </w:p>
    <w:p w:rsidR="00B23A40" w:rsidRDefault="00DD1A0D">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B23A40" w:rsidRDefault="00DD1A0D">
      <w:pPr>
        <w:spacing w:line="360" w:lineRule="auto"/>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一线用药前必须明确有经国家药品监督管理局批准的EGFR基因检测方法检测到的EGFR19外显子缺失突变或21外显子L858R置换突变阳性的患者。对于既往经EGFR-TKI治疗时或治疗后出现疾病进展的患者，用药前必须明确有经国家药品监督管理局批准的检测方法检测到</w:t>
      </w:r>
      <w:r>
        <w:rPr>
          <w:rFonts w:ascii="仿宋" w:eastAsia="仿宋" w:hAnsi="仿宋" w:cs="仿宋"/>
          <w:sz w:val="32"/>
          <w:szCs w:val="32"/>
        </w:rPr>
        <w:t>EGFR-T790M</w:t>
      </w:r>
      <w:r>
        <w:rPr>
          <w:rFonts w:ascii="仿宋" w:eastAsia="仿宋" w:hAnsi="仿宋" w:cs="仿宋" w:hint="eastAsia"/>
          <w:sz w:val="32"/>
          <w:szCs w:val="32"/>
        </w:rPr>
        <w:t>突</w:t>
      </w:r>
      <w:r>
        <w:rPr>
          <w:rFonts w:ascii="仿宋" w:eastAsia="仿宋" w:hAnsi="仿宋" w:cs="仿宋" w:hint="eastAsia"/>
          <w:sz w:val="32"/>
          <w:szCs w:val="32"/>
        </w:rPr>
        <w:lastRenderedPageBreak/>
        <w:t>变。</w:t>
      </w:r>
    </w:p>
    <w:p w:rsidR="00B23A40" w:rsidRDefault="00DD1A0D">
      <w:pPr>
        <w:spacing w:line="360" w:lineRule="auto"/>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肿瘤组织和血液均可用于EGFR突变检测，但组织检测优先。</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3.</w:t>
      </w:r>
      <w:r>
        <w:rPr>
          <w:rFonts w:ascii="仿宋" w:eastAsia="仿宋" w:hAnsi="仿宋" w:cs="仿宋"/>
          <w:sz w:val="32"/>
          <w:szCs w:val="32"/>
        </w:rPr>
        <w:t>EGFR</w:t>
      </w:r>
      <w:r>
        <w:rPr>
          <w:rFonts w:ascii="仿宋" w:eastAsia="仿宋" w:hAnsi="仿宋" w:cs="仿宋" w:hint="eastAsia"/>
          <w:sz w:val="32"/>
          <w:szCs w:val="32"/>
        </w:rPr>
        <w:t>突变阳性的脑转移或脑膜转移患者推荐优先使用奥希替尼。</w:t>
      </w:r>
    </w:p>
    <w:p w:rsidR="00B23A40" w:rsidRDefault="00DD1A0D">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sz w:val="32"/>
          <w:szCs w:val="32"/>
        </w:rPr>
        <w:t>.</w:t>
      </w:r>
      <w:r>
        <w:rPr>
          <w:rFonts w:ascii="仿宋" w:eastAsia="仿宋" w:hAnsi="仿宋" w:cs="仿宋" w:hint="eastAsia"/>
          <w:sz w:val="32"/>
          <w:szCs w:val="32"/>
        </w:rPr>
        <w:t>用药期间必须注意常见的皮肤反应和腹泻，应特别注意间质性肺炎的发生。</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5</w:t>
      </w:r>
      <w:r>
        <w:rPr>
          <w:rFonts w:ascii="仿宋" w:eastAsia="仿宋" w:hAnsi="仿宋" w:cs="仿宋"/>
          <w:sz w:val="32"/>
          <w:szCs w:val="32"/>
        </w:rPr>
        <w:t>.</w:t>
      </w:r>
      <w:r>
        <w:rPr>
          <w:rFonts w:ascii="仿宋" w:eastAsia="仿宋" w:hAnsi="仿宋" w:cs="仿宋" w:hint="eastAsia"/>
          <w:sz w:val="32"/>
          <w:szCs w:val="32"/>
        </w:rPr>
        <w:t>避免与</w:t>
      </w:r>
      <w:r>
        <w:rPr>
          <w:rFonts w:ascii="仿宋" w:eastAsia="仿宋" w:hAnsi="仿宋" w:cs="仿宋"/>
          <w:sz w:val="32"/>
          <w:szCs w:val="32"/>
        </w:rPr>
        <w:t>CYP3A4</w:t>
      </w:r>
      <w:r>
        <w:rPr>
          <w:rFonts w:ascii="仿宋" w:eastAsia="仿宋" w:hAnsi="仿宋" w:cs="仿宋" w:hint="eastAsia"/>
          <w:sz w:val="32"/>
          <w:szCs w:val="32"/>
        </w:rPr>
        <w:t>强诱导剂联合使用。</w:t>
      </w:r>
    </w:p>
    <w:p w:rsidR="00B23A40" w:rsidRDefault="00DD1A0D">
      <w:pPr>
        <w:spacing w:line="360" w:lineRule="auto"/>
        <w:ind w:firstLineChars="200" w:firstLine="640"/>
        <w:rPr>
          <w:rFonts w:ascii="黑体" w:eastAsia="黑体" w:hAnsi="黑体" w:cs="Times New Roman"/>
          <w:sz w:val="32"/>
          <w:szCs w:val="32"/>
          <w:lang w:val="fr-FR"/>
        </w:rPr>
      </w:pPr>
      <w:r>
        <w:rPr>
          <w:rFonts w:ascii="黑体" w:eastAsia="黑体" w:hAnsi="黑体" w:cs="黑体" w:hint="eastAsia"/>
          <w:sz w:val="32"/>
          <w:szCs w:val="32"/>
          <w:lang w:val="fr-FR"/>
        </w:rPr>
        <w:t>七、</w:t>
      </w:r>
      <w:r>
        <w:rPr>
          <w:rFonts w:ascii="黑体" w:eastAsia="黑体" w:hAnsi="黑体" w:cs="黑体" w:hint="eastAsia"/>
          <w:sz w:val="32"/>
          <w:szCs w:val="32"/>
        </w:rPr>
        <w:t xml:space="preserve">克唑替尼 </w:t>
      </w:r>
      <w:r>
        <w:rPr>
          <w:rFonts w:ascii="黑体" w:eastAsia="黑体" w:hAnsi="黑体" w:cs="黑体"/>
          <w:sz w:val="32"/>
          <w:szCs w:val="32"/>
        </w:rPr>
        <w:t>crizotinib</w:t>
      </w:r>
    </w:p>
    <w:p w:rsidR="00B23A40" w:rsidRDefault="00DD1A0D">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胶囊：</w:t>
      </w:r>
      <w:r>
        <w:rPr>
          <w:rFonts w:ascii="仿宋" w:eastAsia="仿宋" w:hAnsi="仿宋" w:cs="仿宋"/>
          <w:sz w:val="32"/>
          <w:szCs w:val="32"/>
        </w:rPr>
        <w:t>200mg</w:t>
      </w:r>
      <w:r>
        <w:rPr>
          <w:rFonts w:ascii="仿宋" w:eastAsia="仿宋" w:hAnsi="仿宋" w:cs="仿宋" w:hint="eastAsia"/>
          <w:sz w:val="32"/>
          <w:szCs w:val="32"/>
        </w:rPr>
        <w:t>、</w:t>
      </w:r>
      <w:r>
        <w:rPr>
          <w:rFonts w:ascii="仿宋" w:eastAsia="仿宋" w:hAnsi="仿宋" w:cs="仿宋"/>
          <w:sz w:val="32"/>
          <w:szCs w:val="32"/>
        </w:rPr>
        <w:t>250mg</w:t>
      </w:r>
    </w:p>
    <w:p w:rsidR="00B23A40" w:rsidRDefault="00DD1A0D">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适应证：</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间变性淋巴瘤激酶（ALK）阳性的局部晚期或转移性</w:t>
      </w:r>
      <w:r>
        <w:rPr>
          <w:rFonts w:ascii="仿宋" w:eastAsia="仿宋" w:hAnsi="仿宋" w:cs="仿宋"/>
          <w:sz w:val="32"/>
          <w:szCs w:val="32"/>
        </w:rPr>
        <w:t>NSCLC</w:t>
      </w:r>
      <w:r>
        <w:rPr>
          <w:rFonts w:ascii="仿宋" w:eastAsia="仿宋" w:hAnsi="仿宋" w:cs="仿宋" w:hint="eastAsia"/>
          <w:sz w:val="32"/>
          <w:szCs w:val="32"/>
        </w:rPr>
        <w:t>患者的治疗。</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2.ROS1</w:t>
      </w:r>
      <w:r>
        <w:rPr>
          <w:rFonts w:ascii="仿宋" w:eastAsia="仿宋" w:hAnsi="仿宋" w:cs="仿宋" w:hint="eastAsia"/>
          <w:sz w:val="32"/>
          <w:szCs w:val="32"/>
        </w:rPr>
        <w:t>阳性的晚期</w:t>
      </w:r>
      <w:r>
        <w:rPr>
          <w:rFonts w:ascii="仿宋" w:eastAsia="仿宋" w:hAnsi="仿宋" w:cs="仿宋"/>
          <w:sz w:val="32"/>
          <w:szCs w:val="32"/>
        </w:rPr>
        <w:t>NSCLC</w:t>
      </w:r>
      <w:r>
        <w:rPr>
          <w:rFonts w:ascii="仿宋" w:eastAsia="仿宋" w:hAnsi="仿宋" w:cs="仿宋" w:hint="eastAsia"/>
          <w:sz w:val="32"/>
          <w:szCs w:val="32"/>
        </w:rPr>
        <w:t>患者的治疗。</w:t>
      </w:r>
    </w:p>
    <w:p w:rsidR="00B23A40" w:rsidRDefault="00DD1A0D">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用药前必须明确有经国家药品监督管理局批准的</w:t>
      </w:r>
      <w:r>
        <w:rPr>
          <w:rFonts w:ascii="仿宋" w:eastAsia="仿宋" w:hAnsi="仿宋" w:cs="仿宋"/>
          <w:sz w:val="32"/>
          <w:szCs w:val="32"/>
        </w:rPr>
        <w:t>ROS1</w:t>
      </w:r>
      <w:r>
        <w:rPr>
          <w:rFonts w:ascii="仿宋" w:eastAsia="仿宋" w:hAnsi="仿宋" w:cs="仿宋" w:hint="eastAsia"/>
          <w:sz w:val="32"/>
          <w:szCs w:val="32"/>
        </w:rPr>
        <w:t>或ALK检测方法检测到的</w:t>
      </w:r>
      <w:r>
        <w:rPr>
          <w:rFonts w:ascii="仿宋" w:eastAsia="仿宋" w:hAnsi="仿宋" w:cs="仿宋"/>
          <w:sz w:val="32"/>
          <w:szCs w:val="32"/>
        </w:rPr>
        <w:t>ROS1</w:t>
      </w:r>
      <w:r>
        <w:rPr>
          <w:rFonts w:ascii="仿宋" w:eastAsia="仿宋" w:hAnsi="仿宋" w:cs="仿宋" w:hint="eastAsia"/>
          <w:sz w:val="32"/>
          <w:szCs w:val="32"/>
        </w:rPr>
        <w:t>阳性或者ALK阳性。</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用药期间必须注意常见的肝功能异常和视觉异常，在治疗开始的最初两个月应每周检测一次，之后每月检测一次患者的肝功能，肝损害患者应谨慎使用克唑替尼进行治疗。</w:t>
      </w:r>
    </w:p>
    <w:p w:rsidR="00B23A40" w:rsidRDefault="00DD1A0D">
      <w:pPr>
        <w:spacing w:line="360" w:lineRule="auto"/>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如果出现</w:t>
      </w:r>
      <w:r>
        <w:rPr>
          <w:rFonts w:ascii="仿宋" w:eastAsia="仿宋" w:hAnsi="仿宋" w:cs="仿宋"/>
          <w:sz w:val="32"/>
          <w:szCs w:val="32"/>
        </w:rPr>
        <w:t>CTCAE</w:t>
      </w:r>
      <w:r>
        <w:rPr>
          <w:rFonts w:ascii="仿宋" w:eastAsia="仿宋" w:hAnsi="仿宋" w:cs="仿宋" w:hint="eastAsia"/>
          <w:sz w:val="32"/>
          <w:szCs w:val="32"/>
        </w:rPr>
        <w:t>（</w:t>
      </w:r>
      <w:r>
        <w:rPr>
          <w:rFonts w:ascii="仿宋" w:eastAsia="仿宋" w:hAnsi="仿宋" w:cs="仿宋"/>
          <w:sz w:val="32"/>
          <w:szCs w:val="32"/>
        </w:rPr>
        <w:t>4.0</w:t>
      </w:r>
      <w:r>
        <w:rPr>
          <w:rFonts w:ascii="仿宋" w:eastAsia="仿宋" w:hAnsi="仿宋" w:cs="仿宋" w:hint="eastAsia"/>
          <w:sz w:val="32"/>
          <w:szCs w:val="32"/>
        </w:rPr>
        <w:t>版）</w:t>
      </w:r>
      <w:r>
        <w:rPr>
          <w:rFonts w:ascii="仿宋" w:eastAsia="仿宋" w:hAnsi="仿宋" w:cs="仿宋"/>
          <w:sz w:val="32"/>
          <w:szCs w:val="32"/>
        </w:rPr>
        <w:t>3</w:t>
      </w:r>
      <w:r>
        <w:rPr>
          <w:rFonts w:ascii="仿宋" w:eastAsia="仿宋" w:hAnsi="仿宋" w:cs="仿宋" w:hint="eastAsia"/>
          <w:sz w:val="32"/>
          <w:szCs w:val="32"/>
        </w:rPr>
        <w:t>级或</w:t>
      </w:r>
      <w:r>
        <w:rPr>
          <w:rFonts w:ascii="仿宋" w:eastAsia="仿宋" w:hAnsi="仿宋" w:cs="仿宋"/>
          <w:sz w:val="32"/>
          <w:szCs w:val="32"/>
        </w:rPr>
        <w:t>4</w:t>
      </w:r>
      <w:r>
        <w:rPr>
          <w:rFonts w:ascii="仿宋" w:eastAsia="仿宋" w:hAnsi="仿宋" w:cs="仿宋" w:hint="eastAsia"/>
          <w:sz w:val="32"/>
          <w:szCs w:val="32"/>
        </w:rPr>
        <w:t>级的不良事件，需按以下方法减少剂量：（</w:t>
      </w:r>
      <w:r>
        <w:rPr>
          <w:rFonts w:ascii="仿宋" w:eastAsia="仿宋" w:hAnsi="仿宋" w:cs="仿宋"/>
          <w:sz w:val="32"/>
          <w:szCs w:val="32"/>
        </w:rPr>
        <w:t>1</w:t>
      </w:r>
      <w:r>
        <w:rPr>
          <w:rFonts w:ascii="仿宋" w:eastAsia="仿宋" w:hAnsi="仿宋" w:cs="仿宋" w:hint="eastAsia"/>
          <w:sz w:val="32"/>
          <w:szCs w:val="32"/>
        </w:rPr>
        <w:t>）第一次减少剂量：口服，</w:t>
      </w:r>
      <w:r>
        <w:rPr>
          <w:rFonts w:ascii="仿宋" w:eastAsia="仿宋" w:hAnsi="仿宋" w:cs="仿宋"/>
          <w:sz w:val="32"/>
          <w:szCs w:val="32"/>
        </w:rPr>
        <w:t>200mg</w:t>
      </w:r>
      <w:r>
        <w:rPr>
          <w:rFonts w:ascii="仿宋" w:eastAsia="仿宋" w:hAnsi="仿宋" w:cs="仿宋" w:hint="eastAsia"/>
          <w:sz w:val="32"/>
          <w:szCs w:val="32"/>
        </w:rPr>
        <w:t>，</w:t>
      </w:r>
      <w:r>
        <w:rPr>
          <w:rFonts w:ascii="仿宋" w:eastAsia="仿宋" w:hAnsi="仿宋" w:cs="仿宋" w:hint="eastAsia"/>
          <w:sz w:val="32"/>
          <w:szCs w:val="32"/>
        </w:rPr>
        <w:lastRenderedPageBreak/>
        <w:t>每日两次。（</w:t>
      </w:r>
      <w:r>
        <w:rPr>
          <w:rFonts w:ascii="仿宋" w:eastAsia="仿宋" w:hAnsi="仿宋" w:cs="仿宋"/>
          <w:sz w:val="32"/>
          <w:szCs w:val="32"/>
        </w:rPr>
        <w:t>2</w:t>
      </w:r>
      <w:r>
        <w:rPr>
          <w:rFonts w:ascii="仿宋" w:eastAsia="仿宋" w:hAnsi="仿宋" w:cs="仿宋" w:hint="eastAsia"/>
          <w:sz w:val="32"/>
          <w:szCs w:val="32"/>
        </w:rPr>
        <w:t>）第二次减少剂量：口服，</w:t>
      </w:r>
      <w:r>
        <w:rPr>
          <w:rFonts w:ascii="仿宋" w:eastAsia="仿宋" w:hAnsi="仿宋" w:cs="仿宋"/>
          <w:sz w:val="32"/>
          <w:szCs w:val="32"/>
        </w:rPr>
        <w:t>250mg</w:t>
      </w:r>
      <w:r>
        <w:rPr>
          <w:rFonts w:ascii="仿宋" w:eastAsia="仿宋" w:hAnsi="仿宋" w:cs="仿宋" w:hint="eastAsia"/>
          <w:sz w:val="32"/>
          <w:szCs w:val="32"/>
        </w:rPr>
        <w:t>，每日一次；如果每日一次口服</w:t>
      </w:r>
      <w:r>
        <w:rPr>
          <w:rFonts w:ascii="仿宋" w:eastAsia="仿宋" w:hAnsi="仿宋" w:cs="仿宋"/>
          <w:sz w:val="32"/>
          <w:szCs w:val="32"/>
        </w:rPr>
        <w:t>250mg</w:t>
      </w:r>
      <w:r>
        <w:rPr>
          <w:rFonts w:ascii="仿宋" w:eastAsia="仿宋" w:hAnsi="仿宋" w:cs="仿宋" w:hint="eastAsia"/>
          <w:sz w:val="32"/>
          <w:szCs w:val="32"/>
        </w:rPr>
        <w:t>克唑替尼胶囊仍无法耐受，则永久停服。</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目前</w:t>
      </w:r>
      <w:r>
        <w:rPr>
          <w:rFonts w:ascii="仿宋" w:eastAsia="仿宋" w:hAnsi="仿宋" w:cs="仿宋"/>
          <w:sz w:val="32"/>
          <w:szCs w:val="32"/>
        </w:rPr>
        <w:t>CYP3A</w:t>
      </w:r>
      <w:r>
        <w:rPr>
          <w:rFonts w:ascii="仿宋" w:eastAsia="仿宋" w:hAnsi="仿宋" w:cs="仿宋" w:hint="eastAsia"/>
          <w:sz w:val="32"/>
          <w:szCs w:val="32"/>
        </w:rPr>
        <w:t>抑制剂对稳态克唑替尼暴露量影响程度尚不确定。克唑替尼是一种</w:t>
      </w:r>
      <w:r>
        <w:rPr>
          <w:rFonts w:ascii="仿宋" w:eastAsia="仿宋" w:hAnsi="仿宋" w:cs="仿宋"/>
          <w:sz w:val="32"/>
          <w:szCs w:val="32"/>
        </w:rPr>
        <w:t>CYP3A</w:t>
      </w:r>
      <w:r>
        <w:rPr>
          <w:rFonts w:ascii="仿宋" w:eastAsia="仿宋" w:hAnsi="仿宋" w:cs="仿宋" w:hint="eastAsia"/>
          <w:sz w:val="32"/>
          <w:szCs w:val="32"/>
        </w:rPr>
        <w:t>的中效抑制剂。体外研究表明，尽管克唑替尼是</w:t>
      </w:r>
      <w:r>
        <w:rPr>
          <w:rFonts w:ascii="仿宋" w:eastAsia="仿宋" w:hAnsi="仿宋" w:cs="仿宋"/>
          <w:sz w:val="32"/>
          <w:szCs w:val="32"/>
        </w:rPr>
        <w:t>CYP2B6</w:t>
      </w:r>
      <w:r>
        <w:rPr>
          <w:rFonts w:ascii="仿宋" w:eastAsia="仿宋" w:hAnsi="仿宋" w:cs="仿宋" w:hint="eastAsia"/>
          <w:sz w:val="32"/>
          <w:szCs w:val="32"/>
        </w:rPr>
        <w:t>底物代谢的介导抑制剂，但在临床上不会发生药物相互作用。</w:t>
      </w:r>
    </w:p>
    <w:p w:rsidR="00B23A40" w:rsidRDefault="00DD1A0D">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vertAlign w:val="superscript"/>
        </w:rPr>
        <w:t>※</w:t>
      </w:r>
      <w:r>
        <w:rPr>
          <w:rFonts w:ascii="仿宋" w:eastAsia="仿宋" w:hAnsi="仿宋" w:cs="仿宋"/>
          <w:sz w:val="32"/>
          <w:szCs w:val="32"/>
        </w:rPr>
        <w:t>5.</w:t>
      </w:r>
      <w:r>
        <w:rPr>
          <w:rFonts w:ascii="仿宋" w:eastAsia="仿宋" w:hAnsi="仿宋" w:cs="仿宋" w:hint="eastAsia"/>
          <w:sz w:val="32"/>
          <w:szCs w:val="32"/>
        </w:rPr>
        <w:t>用于</w:t>
      </w:r>
      <w:r>
        <w:rPr>
          <w:rFonts w:ascii="仿宋" w:eastAsia="仿宋" w:hAnsi="仿宋" w:cs="仿宋"/>
          <w:sz w:val="32"/>
          <w:szCs w:val="32"/>
        </w:rPr>
        <w:t>cMET14</w:t>
      </w:r>
      <w:r>
        <w:rPr>
          <w:rFonts w:ascii="仿宋" w:eastAsia="仿宋" w:hAnsi="仿宋" w:cs="仿宋" w:hint="eastAsia"/>
          <w:sz w:val="32"/>
          <w:szCs w:val="32"/>
        </w:rPr>
        <w:t>外显子跳跃突变的晚期</w:t>
      </w:r>
      <w:r>
        <w:rPr>
          <w:rFonts w:ascii="仿宋" w:eastAsia="仿宋" w:hAnsi="仿宋" w:cs="仿宋"/>
          <w:sz w:val="32"/>
          <w:szCs w:val="32"/>
        </w:rPr>
        <w:t>NSCLC</w:t>
      </w:r>
      <w:r>
        <w:rPr>
          <w:rFonts w:ascii="仿宋" w:eastAsia="仿宋" w:hAnsi="仿宋" w:cs="仿宋" w:hint="eastAsia"/>
          <w:sz w:val="32"/>
          <w:szCs w:val="32"/>
        </w:rPr>
        <w:t>患者。</w:t>
      </w:r>
    </w:p>
    <w:p w:rsidR="00B23A40" w:rsidRDefault="00DD1A0D">
      <w:pPr>
        <w:ind w:firstLineChars="200" w:firstLine="640"/>
        <w:rPr>
          <w:rFonts w:ascii="黑体" w:eastAsia="黑体" w:hAnsi="黑体"/>
          <w:color w:val="000000"/>
          <w:sz w:val="32"/>
          <w:szCs w:val="32"/>
        </w:rPr>
      </w:pPr>
      <w:r>
        <w:rPr>
          <w:rFonts w:ascii="黑体" w:eastAsia="黑体" w:hAnsi="黑体" w:hint="eastAsia"/>
          <w:color w:val="000000"/>
          <w:sz w:val="32"/>
          <w:szCs w:val="32"/>
        </w:rPr>
        <w:t>八、阿来替尼 a</w:t>
      </w:r>
      <w:r>
        <w:rPr>
          <w:rFonts w:ascii="黑体" w:eastAsia="黑体" w:hAnsi="黑体"/>
          <w:color w:val="000000"/>
          <w:sz w:val="32"/>
          <w:szCs w:val="32"/>
        </w:rPr>
        <w:t>lectinib</w:t>
      </w:r>
    </w:p>
    <w:p w:rsidR="00B23A40" w:rsidRDefault="00DD1A0D">
      <w:pPr>
        <w:ind w:firstLineChars="200" w:firstLine="643"/>
        <w:rPr>
          <w:rFonts w:ascii="仿宋" w:eastAsia="仿宋" w:hAnsi="仿宋"/>
          <w:color w:val="000000"/>
          <w:sz w:val="32"/>
          <w:szCs w:val="32"/>
        </w:rPr>
      </w:pPr>
      <w:r>
        <w:rPr>
          <w:rFonts w:ascii="仿宋" w:eastAsia="仿宋" w:hAnsi="仿宋" w:hint="eastAsia"/>
          <w:b/>
          <w:color w:val="000000"/>
          <w:sz w:val="32"/>
          <w:szCs w:val="32"/>
        </w:rPr>
        <w:t>制剂与规格：</w:t>
      </w:r>
      <w:r>
        <w:rPr>
          <w:rFonts w:ascii="仿宋" w:eastAsia="仿宋" w:hAnsi="仿宋" w:hint="eastAsia"/>
          <w:color w:val="000000"/>
          <w:sz w:val="32"/>
          <w:szCs w:val="32"/>
        </w:rPr>
        <w:t>胶囊：150mg</w:t>
      </w:r>
    </w:p>
    <w:p w:rsidR="00B23A40" w:rsidRDefault="00DD1A0D">
      <w:pPr>
        <w:ind w:firstLineChars="200" w:firstLine="643"/>
        <w:rPr>
          <w:rFonts w:ascii="仿宋" w:eastAsia="仿宋" w:hAnsi="仿宋"/>
          <w:color w:val="000000"/>
          <w:sz w:val="32"/>
          <w:szCs w:val="32"/>
        </w:rPr>
      </w:pPr>
      <w:r>
        <w:rPr>
          <w:rFonts w:ascii="仿宋" w:eastAsia="仿宋" w:hAnsi="仿宋" w:hint="eastAsia"/>
          <w:b/>
          <w:color w:val="000000"/>
          <w:sz w:val="32"/>
          <w:szCs w:val="32"/>
        </w:rPr>
        <w:t>适应证：</w:t>
      </w:r>
      <w:r>
        <w:rPr>
          <w:rFonts w:ascii="仿宋" w:eastAsia="仿宋" w:hAnsi="仿宋" w:hint="eastAsia"/>
          <w:color w:val="000000"/>
          <w:sz w:val="32"/>
          <w:szCs w:val="32"/>
        </w:rPr>
        <w:t>ALK阳性的局部晚期或转移性NSCLC患者的治疗。</w:t>
      </w:r>
    </w:p>
    <w:p w:rsidR="00B23A40" w:rsidRDefault="00DD1A0D">
      <w:pPr>
        <w:ind w:firstLineChars="200" w:firstLine="643"/>
        <w:rPr>
          <w:rFonts w:ascii="仿宋" w:eastAsia="仿宋" w:hAnsi="仿宋"/>
          <w:b/>
          <w:color w:val="000000"/>
          <w:sz w:val="32"/>
          <w:szCs w:val="32"/>
        </w:rPr>
      </w:pPr>
      <w:r>
        <w:rPr>
          <w:rFonts w:ascii="仿宋" w:eastAsia="仿宋" w:hAnsi="仿宋" w:hint="eastAsia"/>
          <w:b/>
          <w:color w:val="000000"/>
          <w:sz w:val="32"/>
          <w:szCs w:val="32"/>
        </w:rPr>
        <w:t>合理用药要点：</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1.患者用药前必须获得经国家药品监督管理局批准的检测方法证实的ALK阳性结果。</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2.建议患者接受本药物治疗直到疾病进展或出现无法耐受的毒性。</w:t>
      </w:r>
    </w:p>
    <w:p w:rsidR="00B23A40" w:rsidRDefault="00DD1A0D">
      <w:pPr>
        <w:ind w:firstLineChars="200" w:firstLine="640"/>
        <w:rPr>
          <w:rFonts w:ascii="仿宋" w:eastAsia="仿宋" w:hAnsi="仿宋"/>
          <w:color w:val="000000"/>
          <w:sz w:val="32"/>
          <w:szCs w:val="32"/>
        </w:rPr>
      </w:pPr>
      <w:r>
        <w:rPr>
          <w:rFonts w:ascii="仿宋" w:eastAsia="仿宋" w:hAnsi="仿宋"/>
          <w:color w:val="000000"/>
          <w:sz w:val="32"/>
          <w:szCs w:val="32"/>
        </w:rPr>
        <w:t>3.推荐剂量为600mg，每日两次</w:t>
      </w:r>
      <w:r>
        <w:rPr>
          <w:rFonts w:ascii="仿宋" w:eastAsia="仿宋" w:hAnsi="仿宋" w:hint="eastAsia"/>
          <w:color w:val="000000"/>
          <w:sz w:val="32"/>
          <w:szCs w:val="32"/>
        </w:rPr>
        <w:t>，</w:t>
      </w:r>
      <w:r>
        <w:rPr>
          <w:rFonts w:ascii="仿宋" w:eastAsia="仿宋" w:hAnsi="仿宋"/>
          <w:color w:val="000000"/>
          <w:sz w:val="32"/>
          <w:szCs w:val="32"/>
        </w:rPr>
        <w:t>随餐口服。如出现不良事件，应根据患者耐受性，以每次减量150mg的方式逐步降低本品的剂量：（1）首次减量：450mg，每日两次。（2）第二次减量：300mg，每日两次；如果患者不能耐受300mg每日两次的给药剂量，应该永久停用。</w:t>
      </w:r>
    </w:p>
    <w:p w:rsidR="00B23A40" w:rsidRDefault="00DD1A0D">
      <w:pPr>
        <w:ind w:firstLineChars="200" w:firstLine="640"/>
        <w:rPr>
          <w:rFonts w:ascii="仿宋" w:eastAsia="仿宋" w:hAnsi="仿宋"/>
          <w:color w:val="000000"/>
          <w:sz w:val="32"/>
          <w:szCs w:val="32"/>
        </w:rPr>
      </w:pPr>
      <w:r>
        <w:rPr>
          <w:rFonts w:ascii="仿宋" w:eastAsia="仿宋" w:hAnsi="仿宋"/>
          <w:color w:val="000000"/>
          <w:sz w:val="32"/>
          <w:szCs w:val="32"/>
        </w:rPr>
        <w:lastRenderedPageBreak/>
        <w:t>4</w:t>
      </w:r>
      <w:r>
        <w:rPr>
          <w:rFonts w:ascii="仿宋" w:eastAsia="仿宋" w:hAnsi="仿宋" w:hint="eastAsia"/>
          <w:color w:val="000000"/>
          <w:sz w:val="32"/>
          <w:szCs w:val="32"/>
        </w:rPr>
        <w:t>.基线时应监测肝功能，包括ALT、AST和总胆红素，在最初治疗的3个月内每两周监测一次，之后定期进行监测。</w:t>
      </w:r>
    </w:p>
    <w:p w:rsidR="00B23A40" w:rsidRDefault="00DD1A0D">
      <w:pPr>
        <w:ind w:firstLineChars="200" w:firstLine="640"/>
        <w:rPr>
          <w:rFonts w:ascii="仿宋" w:eastAsia="仿宋" w:hAnsi="仿宋"/>
          <w:color w:val="000000"/>
          <w:sz w:val="32"/>
          <w:szCs w:val="32"/>
        </w:rPr>
      </w:pPr>
      <w:r>
        <w:rPr>
          <w:rFonts w:ascii="仿宋" w:eastAsia="仿宋" w:hAnsi="仿宋"/>
          <w:color w:val="000000"/>
          <w:sz w:val="32"/>
          <w:szCs w:val="32"/>
        </w:rPr>
        <w:t>5</w:t>
      </w:r>
      <w:r>
        <w:rPr>
          <w:rFonts w:ascii="仿宋" w:eastAsia="仿宋" w:hAnsi="仿宋" w:hint="eastAsia"/>
          <w:color w:val="000000"/>
          <w:sz w:val="32"/>
          <w:szCs w:val="32"/>
        </w:rPr>
        <w:t>.建议患者报告任何原因不明的肌痛、触痛或虚弱，评估肌酸磷酸激酶（CPK）水平，在第一个月治疗期间每两周评估一次，随后在临床上根据患者报告的症状按需进行评估。</w:t>
      </w:r>
    </w:p>
    <w:p w:rsidR="00B23A40" w:rsidRDefault="00DD1A0D">
      <w:pPr>
        <w:ind w:firstLineChars="200" w:firstLine="640"/>
        <w:rPr>
          <w:rFonts w:ascii="仿宋" w:eastAsia="仿宋" w:hAnsi="仿宋"/>
          <w:color w:val="000000"/>
          <w:sz w:val="32"/>
          <w:szCs w:val="32"/>
        </w:rPr>
      </w:pPr>
      <w:r>
        <w:rPr>
          <w:rFonts w:ascii="仿宋" w:eastAsia="仿宋" w:hAnsi="仿宋"/>
          <w:color w:val="000000"/>
          <w:sz w:val="32"/>
          <w:szCs w:val="32"/>
        </w:rPr>
        <w:t>6</w:t>
      </w:r>
      <w:r>
        <w:rPr>
          <w:rFonts w:ascii="仿宋" w:eastAsia="仿宋" w:hAnsi="仿宋" w:hint="eastAsia"/>
          <w:color w:val="000000"/>
          <w:sz w:val="32"/>
          <w:szCs w:val="32"/>
        </w:rPr>
        <w:t>.确诊患有间质性肺病/非感染性肺炎的患者应立即中断本品治疗，如果没有发现其他间质性肺病/非感染性肺炎的潜在病因，则应永久停药。</w:t>
      </w:r>
    </w:p>
    <w:p w:rsidR="00B23A40" w:rsidRDefault="00DD1A0D">
      <w:pPr>
        <w:ind w:firstLineChars="200" w:firstLine="640"/>
        <w:rPr>
          <w:rFonts w:ascii="仿宋" w:eastAsia="仿宋" w:hAnsi="仿宋"/>
          <w:color w:val="000000"/>
          <w:sz w:val="32"/>
          <w:szCs w:val="32"/>
        </w:rPr>
      </w:pPr>
      <w:r>
        <w:rPr>
          <w:rFonts w:ascii="仿宋" w:eastAsia="仿宋" w:hAnsi="仿宋"/>
          <w:color w:val="000000"/>
          <w:sz w:val="32"/>
          <w:szCs w:val="32"/>
        </w:rPr>
        <w:t>7</w:t>
      </w:r>
      <w:r>
        <w:rPr>
          <w:rFonts w:ascii="仿宋" w:eastAsia="仿宋" w:hAnsi="仿宋" w:hint="eastAsia"/>
          <w:color w:val="000000"/>
          <w:sz w:val="32"/>
          <w:szCs w:val="32"/>
        </w:rPr>
        <w:t>.在服用阿来替尼时及治疗停止后至少7天内，应建议患者避免长时间阳光暴晒。此外，应建议患者使用防紫外线A（UVA）/紫外线B（UVB）的广谱防晒霜和润唇膏（SPF≥50），防止可能的晒伤。</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8.应根据临床指征监测心率和血压。如果发生无症状心动过缓，则无需调整剂量；如果患者发生症状性心动过缓或危及生命的事件，应对合并用药中已知引发心动过缓的药物（如降压药）进行评估，并依据说明书调整剂量。</w:t>
      </w:r>
    </w:p>
    <w:p w:rsidR="00B23A40" w:rsidRDefault="00DD1A0D">
      <w:pPr>
        <w:spacing w:line="360" w:lineRule="auto"/>
        <w:ind w:firstLineChars="200" w:firstLine="640"/>
        <w:jc w:val="left"/>
        <w:rPr>
          <w:rFonts w:ascii="黑体" w:eastAsia="黑体" w:hAnsi="黑体" w:cs="Times New Roman"/>
          <w:sz w:val="32"/>
          <w:szCs w:val="32"/>
          <w:lang w:val="it-IT"/>
        </w:rPr>
      </w:pPr>
      <w:r>
        <w:rPr>
          <w:rFonts w:ascii="黑体" w:eastAsia="黑体" w:hAnsi="黑体" w:cs="黑体" w:hint="eastAsia"/>
          <w:sz w:val="32"/>
          <w:szCs w:val="32"/>
          <w:lang w:val="it-IT"/>
        </w:rPr>
        <w:t>九、</w:t>
      </w:r>
      <w:r>
        <w:rPr>
          <w:rFonts w:ascii="黑体" w:eastAsia="黑体" w:hAnsi="黑体" w:cs="黑体" w:hint="eastAsia"/>
          <w:sz w:val="32"/>
          <w:szCs w:val="32"/>
        </w:rPr>
        <w:t>塞瑞替尼 ceritinib</w:t>
      </w:r>
    </w:p>
    <w:p w:rsidR="00B23A40" w:rsidRDefault="00DD1A0D">
      <w:pPr>
        <w:spacing w:line="360" w:lineRule="auto"/>
        <w:ind w:firstLineChars="200" w:firstLine="643"/>
        <w:rPr>
          <w:rFonts w:ascii="仿宋" w:eastAsia="仿宋" w:hAnsi="仿宋" w:cs="仿宋"/>
          <w:sz w:val="32"/>
          <w:szCs w:val="32"/>
          <w:lang w:val="it-IT"/>
        </w:rPr>
      </w:pPr>
      <w:r>
        <w:rPr>
          <w:rFonts w:ascii="仿宋" w:eastAsia="仿宋" w:hAnsi="仿宋" w:cs="仿宋" w:hint="eastAsia"/>
          <w:b/>
          <w:bCs/>
          <w:sz w:val="32"/>
          <w:szCs w:val="32"/>
        </w:rPr>
        <w:t>制剂与规格</w:t>
      </w:r>
      <w:r>
        <w:rPr>
          <w:rFonts w:ascii="仿宋" w:eastAsia="仿宋" w:hAnsi="仿宋" w:cs="仿宋" w:hint="eastAsia"/>
          <w:b/>
          <w:bCs/>
          <w:sz w:val="32"/>
          <w:szCs w:val="32"/>
          <w:lang w:val="it-IT"/>
        </w:rPr>
        <w:t>：</w:t>
      </w:r>
      <w:r>
        <w:rPr>
          <w:rFonts w:ascii="仿宋" w:eastAsia="仿宋" w:hAnsi="仿宋" w:cs="仿宋" w:hint="eastAsia"/>
          <w:sz w:val="32"/>
          <w:szCs w:val="32"/>
        </w:rPr>
        <w:t>胶囊：</w:t>
      </w:r>
      <w:r>
        <w:rPr>
          <w:rFonts w:ascii="仿宋" w:eastAsia="仿宋" w:hAnsi="仿宋" w:cs="仿宋"/>
          <w:sz w:val="32"/>
          <w:szCs w:val="32"/>
          <w:lang w:val="it-IT"/>
        </w:rPr>
        <w:t xml:space="preserve">150mg </w:t>
      </w:r>
    </w:p>
    <w:p w:rsidR="00B23A40" w:rsidRDefault="00DD1A0D">
      <w:pPr>
        <w:pStyle w:val="21"/>
        <w:shd w:val="clear" w:color="auto" w:fill="auto"/>
        <w:spacing w:after="0" w:line="360" w:lineRule="auto"/>
        <w:ind w:firstLineChars="200" w:firstLine="643"/>
        <w:rPr>
          <w:rFonts w:ascii="仿宋" w:eastAsia="仿宋" w:hAnsi="仿宋"/>
          <w:sz w:val="32"/>
          <w:szCs w:val="32"/>
        </w:rPr>
      </w:pPr>
      <w:r>
        <w:rPr>
          <w:rFonts w:ascii="仿宋" w:eastAsia="仿宋" w:hAnsi="仿宋" w:cs="仿宋" w:hint="eastAsia"/>
          <w:b/>
          <w:bCs/>
          <w:sz w:val="32"/>
          <w:szCs w:val="32"/>
        </w:rPr>
        <w:t>适应证：</w:t>
      </w:r>
      <w:r>
        <w:rPr>
          <w:rFonts w:ascii="仿宋" w:eastAsia="仿宋" w:hAnsi="仿宋" w:cs="仿宋" w:hint="eastAsia"/>
          <w:sz w:val="32"/>
          <w:szCs w:val="32"/>
        </w:rPr>
        <w:t>本品适用于此前接受过克唑替尼治疗后进展的或者对克唑替尼不耐受的ALK阳性的局部晚期或转移性</w:t>
      </w:r>
      <w:r>
        <w:rPr>
          <w:rFonts w:ascii="仿宋" w:eastAsia="仿宋" w:hAnsi="仿宋" w:cs="仿宋"/>
          <w:sz w:val="32"/>
          <w:szCs w:val="32"/>
        </w:rPr>
        <w:t>NSCLC</w:t>
      </w:r>
      <w:r>
        <w:rPr>
          <w:rFonts w:ascii="仿宋" w:eastAsia="仿宋" w:hAnsi="仿宋" w:cs="仿宋" w:hint="eastAsia"/>
          <w:sz w:val="32"/>
          <w:szCs w:val="32"/>
        </w:rPr>
        <w:t>患者。</w:t>
      </w:r>
    </w:p>
    <w:p w:rsidR="00B23A40" w:rsidRDefault="00DD1A0D">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lastRenderedPageBreak/>
        <w:t>1.</w:t>
      </w:r>
      <w:r>
        <w:rPr>
          <w:rFonts w:ascii="仿宋" w:eastAsia="仿宋" w:hAnsi="仿宋" w:cs="仿宋" w:hint="eastAsia"/>
          <w:sz w:val="32"/>
          <w:szCs w:val="32"/>
        </w:rPr>
        <w:t>用药前必须明确有经国家药品监督管理局批准的</w:t>
      </w:r>
      <w:r>
        <w:rPr>
          <w:rFonts w:ascii="仿宋" w:eastAsia="仿宋" w:hAnsi="仿宋" w:cs="仿宋"/>
          <w:sz w:val="32"/>
          <w:szCs w:val="32"/>
        </w:rPr>
        <w:t>间变性淋巴瘤激酶</w:t>
      </w:r>
      <w:r>
        <w:rPr>
          <w:rFonts w:ascii="仿宋" w:eastAsia="仿宋" w:hAnsi="仿宋" w:cs="仿宋" w:hint="eastAsia"/>
          <w:sz w:val="32"/>
          <w:szCs w:val="32"/>
        </w:rPr>
        <w:t>检测方法检测到的ALK阳性。</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本品的推荐剂量为每日一次，每次</w:t>
      </w:r>
      <w:r>
        <w:rPr>
          <w:rFonts w:ascii="仿宋" w:eastAsia="仿宋" w:hAnsi="仿宋" w:cs="仿宋"/>
          <w:sz w:val="32"/>
          <w:szCs w:val="32"/>
        </w:rPr>
        <w:t>450mg</w:t>
      </w:r>
      <w:r>
        <w:rPr>
          <w:rFonts w:ascii="仿宋" w:eastAsia="仿宋" w:hAnsi="仿宋" w:cs="仿宋" w:hint="eastAsia"/>
          <w:sz w:val="32"/>
          <w:szCs w:val="32"/>
        </w:rPr>
        <w:t>，每天在同一时间口服给药，药物应与食物同时服用。根据患者个体的安全性或耐受性情况，在治疗过程中可能需要暂时中断使用本品或下调剂量，应以150mg的下调幅度逐渐减少本品的日剂量。应注意早期识别药物不良反应并及早给予标准的支持性治疗措施。对于无法耐受每日随餐服用150mg剂量的患者，应停用本品。</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用药期间须注意胃肠道不良反应、肝毒性、间质性肺炎</w:t>
      </w:r>
      <w:r>
        <w:rPr>
          <w:rFonts w:ascii="仿宋" w:eastAsia="仿宋" w:hAnsi="仿宋" w:cs="仿宋"/>
          <w:sz w:val="32"/>
          <w:szCs w:val="32"/>
        </w:rPr>
        <w:t>/</w:t>
      </w:r>
      <w:r>
        <w:rPr>
          <w:rFonts w:ascii="仿宋" w:eastAsia="仿宋" w:hAnsi="仿宋" w:cs="仿宋" w:hint="eastAsia"/>
          <w:sz w:val="32"/>
          <w:szCs w:val="32"/>
        </w:rPr>
        <w:t>非感染性肺炎、心律失常、高血糖等不良反应。</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本品治疗期间应避免联合使用强效</w:t>
      </w:r>
      <w:r>
        <w:rPr>
          <w:rFonts w:ascii="仿宋" w:eastAsia="仿宋" w:hAnsi="仿宋" w:cs="仿宋"/>
          <w:sz w:val="32"/>
          <w:szCs w:val="32"/>
        </w:rPr>
        <w:t>CYP3A</w:t>
      </w:r>
      <w:r>
        <w:rPr>
          <w:rFonts w:ascii="仿宋" w:eastAsia="仿宋" w:hAnsi="仿宋" w:cs="仿宋" w:hint="eastAsia"/>
          <w:sz w:val="32"/>
          <w:szCs w:val="32"/>
        </w:rPr>
        <w:t>抑制剂。如果必须同时使用强效</w:t>
      </w:r>
      <w:r>
        <w:rPr>
          <w:rFonts w:ascii="仿宋" w:eastAsia="仿宋" w:hAnsi="仿宋" w:cs="仿宋"/>
          <w:sz w:val="32"/>
          <w:szCs w:val="32"/>
        </w:rPr>
        <w:t>CYP3A</w:t>
      </w:r>
      <w:r>
        <w:rPr>
          <w:rFonts w:ascii="仿宋" w:eastAsia="仿宋" w:hAnsi="仿宋" w:cs="仿宋" w:hint="eastAsia"/>
          <w:sz w:val="32"/>
          <w:szCs w:val="32"/>
        </w:rPr>
        <w:t>抑制剂，则应将塞瑞替尼的剂量减少约三分之一，取整至最接近的</w:t>
      </w:r>
      <w:r>
        <w:rPr>
          <w:rFonts w:ascii="仿宋" w:eastAsia="仿宋" w:hAnsi="仿宋" w:cs="仿宋"/>
          <w:sz w:val="32"/>
          <w:szCs w:val="32"/>
        </w:rPr>
        <w:t>150mg</w:t>
      </w:r>
      <w:r>
        <w:rPr>
          <w:rFonts w:ascii="仿宋" w:eastAsia="仿宋" w:hAnsi="仿宋" w:cs="仿宋" w:hint="eastAsia"/>
          <w:sz w:val="32"/>
          <w:szCs w:val="32"/>
        </w:rPr>
        <w:t>整数倍剂量。</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5.</w:t>
      </w:r>
      <w:r>
        <w:rPr>
          <w:rFonts w:ascii="仿宋" w:eastAsia="仿宋" w:hAnsi="仿宋" w:cs="仿宋" w:hint="eastAsia"/>
          <w:sz w:val="32"/>
          <w:szCs w:val="32"/>
        </w:rPr>
        <w:t>如果本品与</w:t>
      </w:r>
      <w:r>
        <w:rPr>
          <w:rFonts w:ascii="仿宋" w:eastAsia="仿宋" w:hAnsi="仿宋" w:cs="仿宋"/>
          <w:sz w:val="32"/>
          <w:szCs w:val="32"/>
        </w:rPr>
        <w:t>P-gp</w:t>
      </w:r>
      <w:r>
        <w:rPr>
          <w:rFonts w:ascii="仿宋" w:eastAsia="仿宋" w:hAnsi="仿宋" w:cs="仿宋" w:hint="eastAsia"/>
          <w:sz w:val="32"/>
          <w:szCs w:val="32"/>
        </w:rPr>
        <w:t>抑制剂联合使用，可能导致本品浓度升高，注意监测不良反应。</w:t>
      </w:r>
    </w:p>
    <w:p w:rsidR="00B23A40" w:rsidRDefault="00DD1A0D">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vertAlign w:val="superscript"/>
        </w:rPr>
        <w:t>※</w:t>
      </w:r>
      <w:r>
        <w:rPr>
          <w:rFonts w:ascii="仿宋" w:eastAsia="仿宋" w:hAnsi="仿宋" w:cs="仿宋"/>
          <w:sz w:val="32"/>
          <w:szCs w:val="32"/>
        </w:rPr>
        <w:t>6.</w:t>
      </w:r>
      <w:r>
        <w:rPr>
          <w:rFonts w:ascii="仿宋" w:eastAsia="仿宋" w:hAnsi="仿宋" w:cs="仿宋" w:hint="eastAsia"/>
          <w:sz w:val="32"/>
          <w:szCs w:val="32"/>
        </w:rPr>
        <w:t>在美国、欧盟和日本，塞瑞替尼还获批一线治疗晚期ALK阳性NSCLC。目前国内尚未获批此适应证，可在与患者充分沟通的情况下使用。</w:t>
      </w:r>
    </w:p>
    <w:p w:rsidR="00B23A40" w:rsidRDefault="00DD1A0D">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vertAlign w:val="superscript"/>
        </w:rPr>
        <w:t>※</w:t>
      </w:r>
      <w:r>
        <w:rPr>
          <w:rFonts w:ascii="仿宋" w:eastAsia="仿宋" w:hAnsi="仿宋" w:cs="仿宋"/>
          <w:sz w:val="32"/>
          <w:szCs w:val="32"/>
        </w:rPr>
        <w:t>7.</w:t>
      </w:r>
      <w:r>
        <w:rPr>
          <w:rFonts w:ascii="仿宋" w:eastAsia="仿宋" w:hAnsi="仿宋" w:cs="仿宋" w:hint="eastAsia"/>
          <w:sz w:val="32"/>
          <w:szCs w:val="32"/>
        </w:rPr>
        <w:t>基于一项发表于JCO的Ⅱ期临床研究，在经化疗治疗后的</w:t>
      </w:r>
      <w:r>
        <w:rPr>
          <w:rFonts w:ascii="仿宋" w:eastAsia="仿宋" w:hAnsi="仿宋" w:cs="仿宋"/>
          <w:sz w:val="32"/>
          <w:szCs w:val="32"/>
        </w:rPr>
        <w:t>ROS1</w:t>
      </w:r>
      <w:r>
        <w:rPr>
          <w:rFonts w:ascii="仿宋" w:eastAsia="仿宋" w:hAnsi="仿宋" w:cs="仿宋" w:hint="eastAsia"/>
          <w:sz w:val="32"/>
          <w:szCs w:val="32"/>
        </w:rPr>
        <w:t>重排的</w:t>
      </w:r>
      <w:r>
        <w:rPr>
          <w:rFonts w:ascii="仿宋" w:eastAsia="仿宋" w:hAnsi="仿宋" w:cs="仿宋"/>
          <w:sz w:val="32"/>
          <w:szCs w:val="32"/>
        </w:rPr>
        <w:t>NSCLC</w:t>
      </w:r>
      <w:r>
        <w:rPr>
          <w:rFonts w:ascii="仿宋" w:eastAsia="仿宋" w:hAnsi="仿宋" w:cs="仿宋" w:hint="eastAsia"/>
          <w:sz w:val="32"/>
          <w:szCs w:val="32"/>
        </w:rPr>
        <w:t>患者可选择塞瑞替尼进行治疗。</w:t>
      </w:r>
    </w:p>
    <w:p w:rsidR="00B23A40" w:rsidRDefault="00DD1A0D">
      <w:pPr>
        <w:spacing w:line="360" w:lineRule="auto"/>
        <w:ind w:firstLineChars="200" w:firstLine="640"/>
        <w:rPr>
          <w:rFonts w:ascii="黑体" w:eastAsia="黑体" w:hAnsi="黑体"/>
          <w:color w:val="000000"/>
          <w:sz w:val="32"/>
          <w:szCs w:val="32"/>
        </w:rPr>
      </w:pPr>
      <w:r>
        <w:rPr>
          <w:rFonts w:ascii="黑体" w:eastAsia="黑体" w:hAnsi="黑体" w:hint="eastAsia"/>
          <w:sz w:val="32"/>
          <w:szCs w:val="32"/>
          <w:lang w:val="en-GB"/>
        </w:rPr>
        <w:t>十、</w:t>
      </w:r>
      <w:r>
        <w:rPr>
          <w:rFonts w:ascii="黑体" w:eastAsia="黑体" w:hAnsi="黑体" w:hint="eastAsia"/>
          <w:color w:val="000000"/>
          <w:sz w:val="32"/>
          <w:szCs w:val="32"/>
        </w:rPr>
        <w:t xml:space="preserve">贝伐珠单抗 </w:t>
      </w:r>
      <w:r>
        <w:rPr>
          <w:rFonts w:ascii="黑体" w:eastAsia="黑体" w:hAnsi="黑体"/>
          <w:color w:val="000000"/>
          <w:sz w:val="32"/>
          <w:szCs w:val="32"/>
        </w:rPr>
        <w:t>bevacizumab</w:t>
      </w:r>
    </w:p>
    <w:p w:rsidR="00B23A40" w:rsidRDefault="00DD1A0D">
      <w:pPr>
        <w:spacing w:line="360" w:lineRule="auto"/>
        <w:ind w:firstLineChars="200" w:firstLine="643"/>
        <w:rPr>
          <w:rFonts w:ascii="仿宋" w:eastAsia="仿宋" w:hAnsi="仿宋"/>
          <w:color w:val="000000"/>
          <w:sz w:val="32"/>
          <w:szCs w:val="32"/>
        </w:rPr>
      </w:pPr>
      <w:r>
        <w:rPr>
          <w:rFonts w:ascii="仿宋" w:eastAsia="仿宋" w:hAnsi="仿宋" w:hint="eastAsia"/>
          <w:b/>
          <w:sz w:val="32"/>
          <w:szCs w:val="32"/>
        </w:rPr>
        <w:lastRenderedPageBreak/>
        <w:t>制剂与规格：</w:t>
      </w:r>
      <w:r>
        <w:rPr>
          <w:rFonts w:ascii="仿宋" w:eastAsia="仿宋" w:hAnsi="仿宋" w:hint="eastAsia"/>
          <w:sz w:val="32"/>
          <w:szCs w:val="32"/>
        </w:rPr>
        <w:t>注射液：100mg（4ml）/瓶</w:t>
      </w:r>
    </w:p>
    <w:p w:rsidR="00B23A40" w:rsidRDefault="00DD1A0D">
      <w:pPr>
        <w:spacing w:line="360" w:lineRule="auto"/>
        <w:ind w:firstLineChars="200" w:firstLine="643"/>
        <w:rPr>
          <w:rFonts w:ascii="仿宋" w:eastAsia="仿宋" w:hAnsi="仿宋"/>
          <w:color w:val="000000"/>
          <w:sz w:val="32"/>
          <w:szCs w:val="32"/>
        </w:rPr>
      </w:pPr>
      <w:r>
        <w:rPr>
          <w:rFonts w:ascii="仿宋" w:eastAsia="仿宋" w:hAnsi="仿宋" w:hint="eastAsia"/>
          <w:b/>
          <w:color w:val="000000"/>
          <w:sz w:val="32"/>
          <w:szCs w:val="32"/>
        </w:rPr>
        <w:t>适应证：</w:t>
      </w:r>
      <w:r>
        <w:rPr>
          <w:rFonts w:ascii="仿宋" w:eastAsia="仿宋" w:hAnsi="仿宋" w:hint="eastAsia"/>
          <w:color w:val="000000"/>
          <w:sz w:val="32"/>
          <w:szCs w:val="32"/>
        </w:rPr>
        <w:t>贝伐珠单抗联合以铂类为基础的化疗用于不可切除的晚期、转移性或复发性非鳞状细胞NSCLC患者的一线治疗。</w:t>
      </w:r>
    </w:p>
    <w:p w:rsidR="00B23A40" w:rsidRDefault="00DD1A0D">
      <w:pPr>
        <w:spacing w:line="360" w:lineRule="auto"/>
        <w:ind w:firstLineChars="200" w:firstLine="643"/>
        <w:rPr>
          <w:rFonts w:ascii="仿宋" w:eastAsia="仿宋" w:hAnsi="仿宋"/>
          <w:b/>
          <w:color w:val="000000"/>
          <w:sz w:val="32"/>
          <w:szCs w:val="32"/>
        </w:rPr>
      </w:pPr>
      <w:r>
        <w:rPr>
          <w:rFonts w:ascii="仿宋" w:eastAsia="仿宋" w:hAnsi="仿宋" w:hint="eastAsia"/>
          <w:b/>
          <w:color w:val="000000"/>
          <w:sz w:val="32"/>
          <w:szCs w:val="32"/>
        </w:rPr>
        <w:t>合理用药要点：</w:t>
      </w:r>
    </w:p>
    <w:p w:rsidR="00B23A40" w:rsidRDefault="00DD1A0D">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1.贝伐珠单抗不适用于晚期肺鳞状细胞癌的治疗。</w:t>
      </w:r>
    </w:p>
    <w:p w:rsidR="00B23A40" w:rsidRDefault="00DD1A0D">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2.有严重出血或者近期曾有咯血、肿瘤侵犯大血管的患者不应接受贝伐珠单抗治疗。</w:t>
      </w:r>
    </w:p>
    <w:p w:rsidR="00B23A40" w:rsidRDefault="00DD1A0D">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3.贝伐珠单抗联合以铂类为基础的化疗最多6个周期，随后给予贝伐珠单抗单药治疗，直至疾病进展或出现不可耐受的毒性。</w:t>
      </w:r>
    </w:p>
    <w:p w:rsidR="00B23A40" w:rsidRDefault="00DD1A0D">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4.贝伐珠单抗推荐剂量为15mg/kg，每3周给药一次。也可以使用7.5mg/kg，每3周给药一次。</w:t>
      </w:r>
    </w:p>
    <w:p w:rsidR="00B23A40" w:rsidRDefault="00DD1A0D">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5.出现以下情况，停止使用贝伐珠单抗：</w:t>
      </w:r>
      <w:r>
        <w:rPr>
          <w:rFonts w:ascii="仿宋" w:eastAsia="仿宋" w:hAnsi="仿宋" w:cs="宋体" w:hint="eastAsia"/>
          <w:color w:val="000000"/>
          <w:sz w:val="32"/>
          <w:szCs w:val="32"/>
        </w:rPr>
        <w:t>（1）</w:t>
      </w:r>
      <w:r>
        <w:rPr>
          <w:rFonts w:ascii="仿宋" w:eastAsia="仿宋" w:hAnsi="仿宋" w:hint="eastAsia"/>
          <w:color w:val="000000"/>
          <w:sz w:val="32"/>
          <w:szCs w:val="32"/>
        </w:rPr>
        <w:t>严重胃肠道不良反应（胃肠道穿孔、胃肠道瘘形成、腹腔脓肿），内脏瘘形成。</w:t>
      </w:r>
      <w:r>
        <w:rPr>
          <w:rFonts w:ascii="仿宋" w:eastAsia="仿宋" w:hAnsi="仿宋" w:cs="宋体" w:hint="eastAsia"/>
          <w:color w:val="000000"/>
          <w:sz w:val="32"/>
          <w:szCs w:val="32"/>
        </w:rPr>
        <w:t>（2）</w:t>
      </w:r>
      <w:r>
        <w:rPr>
          <w:rFonts w:ascii="仿宋" w:eastAsia="仿宋" w:hAnsi="仿宋" w:hint="eastAsia"/>
          <w:color w:val="000000"/>
          <w:sz w:val="32"/>
          <w:szCs w:val="32"/>
        </w:rPr>
        <w:t>需要干预治疗的伤口裂开以及伤口愈合并发症。</w:t>
      </w:r>
      <w:r>
        <w:rPr>
          <w:rFonts w:ascii="仿宋" w:eastAsia="仿宋" w:hAnsi="仿宋" w:cs="宋体" w:hint="eastAsia"/>
          <w:color w:val="000000"/>
          <w:sz w:val="32"/>
          <w:szCs w:val="32"/>
        </w:rPr>
        <w:t>（3）</w:t>
      </w:r>
      <w:r>
        <w:rPr>
          <w:rFonts w:ascii="仿宋" w:eastAsia="仿宋" w:hAnsi="仿宋" w:hint="eastAsia"/>
          <w:color w:val="000000"/>
          <w:sz w:val="32"/>
          <w:szCs w:val="32"/>
        </w:rPr>
        <w:t>重度出血（例如需要干预治疗）</w:t>
      </w:r>
      <w:r>
        <w:rPr>
          <w:rFonts w:ascii="仿宋" w:eastAsia="仿宋" w:hAnsi="仿宋" w:cs="宋体" w:hint="eastAsia"/>
          <w:color w:val="000000"/>
          <w:sz w:val="32"/>
          <w:szCs w:val="32"/>
        </w:rPr>
        <w:t>。（4）</w:t>
      </w:r>
      <w:r>
        <w:rPr>
          <w:rFonts w:ascii="仿宋" w:eastAsia="仿宋" w:hAnsi="仿宋" w:hint="eastAsia"/>
          <w:color w:val="000000"/>
          <w:sz w:val="32"/>
          <w:szCs w:val="32"/>
        </w:rPr>
        <w:t>重度动脉血栓事件。（5）危及生命（</w:t>
      </w:r>
      <w:r>
        <w:rPr>
          <w:rFonts w:ascii="仿宋" w:eastAsia="仿宋" w:hAnsi="仿宋"/>
          <w:color w:val="000000"/>
          <w:sz w:val="32"/>
          <w:szCs w:val="32"/>
        </w:rPr>
        <w:t>4</w:t>
      </w:r>
      <w:r>
        <w:rPr>
          <w:rFonts w:ascii="仿宋" w:eastAsia="仿宋" w:hAnsi="仿宋" w:hint="eastAsia"/>
          <w:color w:val="000000"/>
          <w:sz w:val="32"/>
          <w:szCs w:val="32"/>
        </w:rPr>
        <w:t>级）的静脉血栓栓塞事件，包括肺栓塞。（6）高血压危象或高血压脑病。（7）可逆性后部脑病综合征。（8）肾病综合征。</w:t>
      </w:r>
    </w:p>
    <w:p w:rsidR="00B23A40" w:rsidRDefault="00DD1A0D">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6.如果出现以下状况，需暂停使用贝伐珠单抗：（1）择期手术前</w:t>
      </w:r>
      <w:r>
        <w:rPr>
          <w:rFonts w:ascii="仿宋" w:eastAsia="仿宋" w:hAnsi="仿宋"/>
          <w:color w:val="000000"/>
          <w:sz w:val="32"/>
          <w:szCs w:val="32"/>
        </w:rPr>
        <w:t>4</w:t>
      </w:r>
      <w:r>
        <w:rPr>
          <w:rFonts w:ascii="仿宋" w:eastAsia="仿宋" w:hAnsi="仿宋" w:hint="eastAsia"/>
          <w:color w:val="000000"/>
          <w:sz w:val="32"/>
          <w:szCs w:val="32"/>
        </w:rPr>
        <w:t>～6周。（2）药物控制不良的重度高血压。（3）</w:t>
      </w:r>
      <w:r>
        <w:rPr>
          <w:rFonts w:ascii="仿宋" w:eastAsia="仿宋" w:hAnsi="仿宋" w:hint="eastAsia"/>
          <w:color w:val="000000"/>
          <w:sz w:val="32"/>
          <w:szCs w:val="32"/>
        </w:rPr>
        <w:lastRenderedPageBreak/>
        <w:t>中度到重度的蛋白尿需要进一步评估。（4）重度输液反应。</w:t>
      </w:r>
    </w:p>
    <w:p w:rsidR="00B23A40" w:rsidRDefault="00DD1A0D">
      <w:pPr>
        <w:spacing w:line="360" w:lineRule="auto"/>
        <w:ind w:firstLineChars="200" w:firstLine="643"/>
        <w:rPr>
          <w:rFonts w:ascii="仿宋" w:eastAsia="仿宋" w:hAnsi="仿宋"/>
          <w:color w:val="000000"/>
          <w:sz w:val="32"/>
          <w:szCs w:val="32"/>
        </w:rPr>
      </w:pPr>
      <w:r>
        <w:rPr>
          <w:rFonts w:ascii="仿宋" w:eastAsia="仿宋" w:hAnsi="仿宋" w:hint="eastAsia"/>
          <w:b/>
          <w:color w:val="000000"/>
          <w:sz w:val="32"/>
          <w:szCs w:val="32"/>
          <w:vertAlign w:val="superscript"/>
        </w:rPr>
        <w:t>※</w:t>
      </w:r>
      <w:r>
        <w:rPr>
          <w:rFonts w:ascii="仿宋" w:eastAsia="仿宋" w:hAnsi="仿宋" w:hint="eastAsia"/>
          <w:color w:val="000000"/>
          <w:sz w:val="32"/>
          <w:szCs w:val="32"/>
        </w:rPr>
        <w:t>7.在欧盟，贝伐珠单抗联合厄洛替尼获批用于EGFR基因具有敏感突变的、不可手术切除的晚期、转移性或复发性非鳞状NSCLC患者的一线治疗，目前国内尚未获批此适应证，可在与患者充分沟通的情况下使用。</w:t>
      </w:r>
    </w:p>
    <w:p w:rsidR="00B23A40" w:rsidRDefault="00DD1A0D">
      <w:p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十一、重组人血管内皮抑制素 e</w:t>
      </w:r>
      <w:r>
        <w:rPr>
          <w:rFonts w:ascii="黑体" w:eastAsia="黑体" w:hAnsi="黑体" w:cs="黑体"/>
          <w:sz w:val="32"/>
          <w:szCs w:val="32"/>
        </w:rPr>
        <w:t>ndostatin</w:t>
      </w:r>
    </w:p>
    <w:p w:rsidR="00B23A40" w:rsidRDefault="00DD1A0D">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针剂：</w:t>
      </w:r>
      <w:r>
        <w:rPr>
          <w:rFonts w:ascii="仿宋" w:eastAsia="仿宋" w:hAnsi="仿宋" w:cs="仿宋"/>
          <w:sz w:val="32"/>
          <w:szCs w:val="32"/>
        </w:rPr>
        <w:t>15mg</w:t>
      </w:r>
      <w:r>
        <w:rPr>
          <w:rFonts w:ascii="仿宋" w:eastAsia="仿宋" w:hAnsi="仿宋" w:cs="仿宋" w:hint="eastAsia"/>
          <w:sz w:val="32"/>
          <w:szCs w:val="32"/>
        </w:rPr>
        <w:t>（</w:t>
      </w:r>
      <w:r>
        <w:rPr>
          <w:rFonts w:ascii="仿宋" w:eastAsia="仿宋" w:hAnsi="仿宋" w:cs="仿宋"/>
          <w:sz w:val="32"/>
          <w:szCs w:val="32"/>
        </w:rPr>
        <w:t>3ml</w:t>
      </w:r>
      <w:r>
        <w:rPr>
          <w:rFonts w:ascii="仿宋" w:eastAsia="仿宋" w:hAnsi="仿宋" w:cs="仿宋" w:hint="eastAsia"/>
          <w:sz w:val="32"/>
          <w:szCs w:val="32"/>
        </w:rPr>
        <w:t>）</w:t>
      </w:r>
      <w:r>
        <w:rPr>
          <w:rFonts w:ascii="仿宋" w:eastAsia="仿宋" w:hAnsi="仿宋" w:cs="仿宋"/>
          <w:sz w:val="32"/>
          <w:szCs w:val="32"/>
        </w:rPr>
        <w:t>/</w:t>
      </w:r>
      <w:r>
        <w:rPr>
          <w:rFonts w:ascii="仿宋" w:eastAsia="仿宋" w:hAnsi="仿宋" w:cs="仿宋" w:hint="eastAsia"/>
          <w:sz w:val="32"/>
          <w:szCs w:val="32"/>
        </w:rPr>
        <w:t>瓶</w:t>
      </w:r>
    </w:p>
    <w:p w:rsidR="00B23A40" w:rsidRDefault="00DD1A0D">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rPr>
        <w:t>适应证：</w:t>
      </w:r>
      <w:r>
        <w:rPr>
          <w:rFonts w:ascii="仿宋" w:eastAsia="仿宋" w:hAnsi="仿宋" w:cs="仿宋" w:hint="eastAsia"/>
          <w:sz w:val="32"/>
          <w:szCs w:val="32"/>
        </w:rPr>
        <w:t>本品联合</w:t>
      </w:r>
      <w:r>
        <w:rPr>
          <w:rFonts w:ascii="仿宋" w:eastAsia="仿宋" w:hAnsi="仿宋" w:cs="仿宋"/>
          <w:sz w:val="32"/>
          <w:szCs w:val="32"/>
        </w:rPr>
        <w:t>NP</w:t>
      </w:r>
      <w:r>
        <w:rPr>
          <w:rFonts w:ascii="仿宋" w:eastAsia="仿宋" w:hAnsi="仿宋" w:cs="仿宋" w:hint="eastAsia"/>
          <w:sz w:val="32"/>
          <w:szCs w:val="32"/>
        </w:rPr>
        <w:t>化疗方案用于治疗初治或复治的Ⅲ/Ⅳ期</w:t>
      </w:r>
      <w:r>
        <w:rPr>
          <w:rFonts w:ascii="仿宋" w:eastAsia="仿宋" w:hAnsi="仿宋" w:cs="仿宋"/>
          <w:sz w:val="32"/>
          <w:szCs w:val="32"/>
        </w:rPr>
        <w:t>NSCLC</w:t>
      </w:r>
      <w:r>
        <w:rPr>
          <w:rFonts w:ascii="仿宋" w:eastAsia="仿宋" w:hAnsi="仿宋" w:cs="仿宋" w:hint="eastAsia"/>
          <w:sz w:val="32"/>
          <w:szCs w:val="32"/>
        </w:rPr>
        <w:t>患者。</w:t>
      </w:r>
    </w:p>
    <w:p w:rsidR="00B23A40" w:rsidRDefault="00DD1A0D">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B23A40" w:rsidRDefault="00DD1A0D">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1.重组人血管内皮抑制素与NP方案联合至4个周期，然后采用本品进行维持治疗。本品适用于初治或复治的Ⅲ/Ⅳ期</w:t>
      </w:r>
      <w:r>
        <w:rPr>
          <w:rFonts w:ascii="仿宋" w:eastAsia="仿宋" w:hAnsi="仿宋" w:cs="仿宋"/>
          <w:sz w:val="32"/>
          <w:szCs w:val="32"/>
        </w:rPr>
        <w:t>NSCLC</w:t>
      </w:r>
      <w:r>
        <w:rPr>
          <w:rFonts w:ascii="仿宋" w:eastAsia="仿宋" w:hAnsi="仿宋" w:cs="仿宋" w:hint="eastAsia"/>
          <w:sz w:val="32"/>
          <w:szCs w:val="32"/>
        </w:rPr>
        <w:t>患者。</w:t>
      </w:r>
    </w:p>
    <w:p w:rsidR="00B23A40" w:rsidRDefault="00DD1A0D">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2.如果出现以下状况，需暂停使用重组人血管内皮抑制素：（1）出现相关心脏毒性反应时，如≥3度或≤2度且毒性反应持续存在。（2）≥3度皮肤过敏反应。</w:t>
      </w:r>
    </w:p>
    <w:p w:rsidR="00B23A40" w:rsidRDefault="00DD1A0D">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3.重组人血管内皮抑制素主要相关不良事件发生率：基于IV期研究结果，发生率分别为：心律失常0.7%、心功能下降0.2%、出血0.4%、过敏反应0.2%。</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4</w:t>
      </w:r>
      <w:r>
        <w:rPr>
          <w:rFonts w:ascii="仿宋" w:eastAsia="仿宋" w:hAnsi="仿宋" w:cs="仿宋"/>
          <w:sz w:val="32"/>
          <w:szCs w:val="32"/>
        </w:rPr>
        <w:t>.</w:t>
      </w:r>
      <w:r>
        <w:rPr>
          <w:rFonts w:ascii="仿宋" w:eastAsia="仿宋" w:hAnsi="仿宋" w:cs="仿宋" w:hint="eastAsia"/>
          <w:sz w:val="32"/>
          <w:szCs w:val="32"/>
        </w:rPr>
        <w:t>过敏体质或对蛋白类生物制品有过敏史者慎用。</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5</w:t>
      </w:r>
      <w:r>
        <w:rPr>
          <w:rFonts w:ascii="仿宋" w:eastAsia="仿宋" w:hAnsi="仿宋" w:cs="仿宋"/>
          <w:sz w:val="32"/>
          <w:szCs w:val="32"/>
        </w:rPr>
        <w:t>.</w:t>
      </w:r>
      <w:r>
        <w:rPr>
          <w:rFonts w:ascii="仿宋" w:eastAsia="仿宋" w:hAnsi="仿宋" w:cs="仿宋" w:hint="eastAsia"/>
          <w:sz w:val="32"/>
          <w:szCs w:val="32"/>
        </w:rPr>
        <w:t>有严重心脏病或病史者慎用，本品临床使用过程中应定期检测心电图。</w:t>
      </w:r>
    </w:p>
    <w:p w:rsidR="00B23A40" w:rsidRDefault="00DD1A0D">
      <w:pPr>
        <w:spacing w:line="360" w:lineRule="auto"/>
        <w:ind w:firstLineChars="200" w:firstLine="640"/>
        <w:rPr>
          <w:rFonts w:ascii="黑体" w:eastAsia="黑体" w:hAnsi="黑体" w:cs="Times New Roman"/>
          <w:sz w:val="32"/>
          <w:szCs w:val="32"/>
          <w:lang w:val="de-DE"/>
        </w:rPr>
      </w:pPr>
      <w:r>
        <w:rPr>
          <w:rFonts w:ascii="黑体" w:eastAsia="黑体" w:hAnsi="黑体" w:cs="黑体" w:hint="eastAsia"/>
          <w:sz w:val="32"/>
          <w:szCs w:val="32"/>
          <w:lang w:val="de-DE"/>
        </w:rPr>
        <w:lastRenderedPageBreak/>
        <w:t>十二、</w:t>
      </w:r>
      <w:r>
        <w:rPr>
          <w:rFonts w:ascii="黑体" w:eastAsia="黑体" w:hAnsi="黑体" w:cs="黑体" w:hint="eastAsia"/>
          <w:sz w:val="32"/>
          <w:szCs w:val="32"/>
        </w:rPr>
        <w:t>安罗替尼 a</w:t>
      </w:r>
      <w:r>
        <w:rPr>
          <w:rFonts w:ascii="黑体" w:eastAsia="黑体" w:hAnsi="黑体" w:cs="黑体"/>
          <w:sz w:val="32"/>
          <w:szCs w:val="32"/>
        </w:rPr>
        <w:t>nlotinib</w:t>
      </w:r>
    </w:p>
    <w:p w:rsidR="00B23A40" w:rsidRDefault="00DD1A0D">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胶囊：</w:t>
      </w:r>
      <w:r>
        <w:rPr>
          <w:rFonts w:ascii="仿宋" w:eastAsia="仿宋" w:hAnsi="仿宋" w:cs="仿宋"/>
          <w:sz w:val="32"/>
          <w:szCs w:val="32"/>
        </w:rPr>
        <w:t>8mg</w:t>
      </w:r>
      <w:r>
        <w:rPr>
          <w:rFonts w:ascii="仿宋" w:eastAsia="仿宋" w:hAnsi="仿宋" w:cs="仿宋" w:hint="eastAsia"/>
          <w:sz w:val="32"/>
          <w:szCs w:val="32"/>
        </w:rPr>
        <w:t>、</w:t>
      </w:r>
      <w:r>
        <w:rPr>
          <w:rFonts w:ascii="仿宋" w:eastAsia="仿宋" w:hAnsi="仿宋" w:cs="仿宋"/>
          <w:sz w:val="32"/>
          <w:szCs w:val="32"/>
        </w:rPr>
        <w:t>10mg</w:t>
      </w:r>
      <w:r>
        <w:rPr>
          <w:rFonts w:ascii="仿宋" w:eastAsia="仿宋" w:hAnsi="仿宋" w:cs="仿宋" w:hint="eastAsia"/>
          <w:sz w:val="32"/>
          <w:szCs w:val="32"/>
        </w:rPr>
        <w:t>、</w:t>
      </w:r>
      <w:r>
        <w:rPr>
          <w:rFonts w:ascii="仿宋" w:eastAsia="仿宋" w:hAnsi="仿宋" w:cs="仿宋"/>
          <w:sz w:val="32"/>
          <w:szCs w:val="32"/>
        </w:rPr>
        <w:t xml:space="preserve">12mg </w:t>
      </w:r>
    </w:p>
    <w:p w:rsidR="00B23A40" w:rsidRDefault="00DD1A0D">
      <w:pPr>
        <w:spacing w:line="360" w:lineRule="auto"/>
        <w:ind w:firstLineChars="200" w:firstLine="643"/>
        <w:rPr>
          <w:rFonts w:ascii="仿宋" w:eastAsia="仿宋" w:hAnsi="仿宋" w:cs="仿宋"/>
          <w:b/>
          <w:bCs/>
          <w:sz w:val="32"/>
          <w:szCs w:val="32"/>
        </w:rPr>
      </w:pPr>
      <w:r>
        <w:rPr>
          <w:rFonts w:ascii="仿宋" w:eastAsia="仿宋" w:hAnsi="仿宋" w:cs="仿宋" w:hint="eastAsia"/>
          <w:b/>
          <w:bCs/>
          <w:sz w:val="32"/>
          <w:szCs w:val="32"/>
        </w:rPr>
        <w:t>适应证：</w:t>
      </w:r>
    </w:p>
    <w:p w:rsidR="00B23A40" w:rsidRDefault="00DD1A0D">
      <w:pPr>
        <w:tabs>
          <w:tab w:val="left" w:pos="709"/>
          <w:tab w:val="left" w:pos="851"/>
        </w:tabs>
        <w:spacing w:line="360" w:lineRule="auto"/>
        <w:ind w:firstLineChars="200" w:firstLine="640"/>
        <w:jc w:val="left"/>
        <w:rPr>
          <w:rFonts w:ascii="仿宋" w:eastAsia="仿宋" w:hAnsi="仿宋" w:cs="Times New Roman"/>
          <w:sz w:val="32"/>
          <w:szCs w:val="32"/>
        </w:rPr>
      </w:pPr>
      <w:r>
        <w:rPr>
          <w:rFonts w:ascii="仿宋" w:eastAsia="仿宋" w:hAnsi="仿宋" w:cs="仿宋" w:hint="eastAsia"/>
          <w:sz w:val="32"/>
          <w:szCs w:val="32"/>
        </w:rPr>
        <w:t>1.本品单药适用于既往至少接受过</w:t>
      </w:r>
      <w:r>
        <w:rPr>
          <w:rFonts w:ascii="仿宋" w:eastAsia="仿宋" w:hAnsi="仿宋" w:cs="仿宋"/>
          <w:sz w:val="32"/>
          <w:szCs w:val="32"/>
        </w:rPr>
        <w:t>2</w:t>
      </w:r>
      <w:r>
        <w:rPr>
          <w:rFonts w:ascii="仿宋" w:eastAsia="仿宋" w:hAnsi="仿宋" w:cs="仿宋" w:hint="eastAsia"/>
          <w:sz w:val="32"/>
          <w:szCs w:val="32"/>
        </w:rPr>
        <w:t>种系统化疗后出现进展或复发的局部晚期或转移性</w:t>
      </w:r>
      <w:r>
        <w:rPr>
          <w:rFonts w:ascii="仿宋" w:eastAsia="仿宋" w:hAnsi="仿宋" w:cs="仿宋"/>
          <w:sz w:val="32"/>
          <w:szCs w:val="32"/>
        </w:rPr>
        <w:t>NSCLC</w:t>
      </w:r>
      <w:r>
        <w:rPr>
          <w:rFonts w:ascii="仿宋" w:eastAsia="仿宋" w:hAnsi="仿宋" w:cs="仿宋" w:hint="eastAsia"/>
          <w:sz w:val="32"/>
          <w:szCs w:val="32"/>
        </w:rPr>
        <w:t>患者的治疗。对于存在</w:t>
      </w:r>
      <w:r>
        <w:rPr>
          <w:rFonts w:ascii="仿宋" w:eastAsia="仿宋" w:hAnsi="仿宋" w:cs="仿宋"/>
          <w:sz w:val="32"/>
          <w:szCs w:val="32"/>
        </w:rPr>
        <w:t>EGFR</w:t>
      </w:r>
      <w:r>
        <w:rPr>
          <w:rFonts w:ascii="仿宋" w:eastAsia="仿宋" w:hAnsi="仿宋" w:cs="仿宋" w:hint="eastAsia"/>
          <w:sz w:val="32"/>
          <w:szCs w:val="32"/>
        </w:rPr>
        <w:t>基因突变或ALK阳性的患者，在开始本品治疗前应接受相应的靶向药物治疗后进展、且至少接受过</w:t>
      </w:r>
      <w:r>
        <w:rPr>
          <w:rFonts w:ascii="仿宋" w:eastAsia="仿宋" w:hAnsi="仿宋" w:cs="仿宋"/>
          <w:sz w:val="32"/>
          <w:szCs w:val="32"/>
        </w:rPr>
        <w:t>2</w:t>
      </w:r>
      <w:r>
        <w:rPr>
          <w:rFonts w:ascii="仿宋" w:eastAsia="仿宋" w:hAnsi="仿宋" w:cs="仿宋" w:hint="eastAsia"/>
          <w:sz w:val="32"/>
          <w:szCs w:val="32"/>
        </w:rPr>
        <w:t>种系统化疗后出现进展或复发。</w:t>
      </w:r>
    </w:p>
    <w:p w:rsidR="00B23A40" w:rsidRDefault="00DD1A0D">
      <w:pPr>
        <w:ind w:firstLineChars="200" w:firstLine="640"/>
        <w:rPr>
          <w:rFonts w:ascii="仿宋" w:eastAsia="仿宋" w:hAnsi="仿宋" w:cs="Times New Roman"/>
          <w:sz w:val="32"/>
          <w:szCs w:val="32"/>
        </w:rPr>
      </w:pPr>
      <w:r>
        <w:rPr>
          <w:rFonts w:ascii="仿宋" w:eastAsia="仿宋" w:hAnsi="仿宋" w:cs="Times New Roman" w:hint="eastAsia"/>
          <w:sz w:val="32"/>
          <w:szCs w:val="32"/>
        </w:rPr>
        <w:t>2.本品单药适用于既往至少接受过2种化疗方案治疗后进展或复发的小细胞肺癌患者的治疗。</w:t>
      </w:r>
    </w:p>
    <w:p w:rsidR="00B23A40" w:rsidRDefault="00DD1A0D">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使用安罗替尼前无需进行基因检测，但对于存在</w:t>
      </w:r>
      <w:r>
        <w:rPr>
          <w:rFonts w:ascii="仿宋" w:eastAsia="仿宋" w:hAnsi="仿宋" w:cs="仿宋"/>
          <w:sz w:val="32"/>
          <w:szCs w:val="32"/>
        </w:rPr>
        <w:t>EGFR</w:t>
      </w:r>
      <w:r>
        <w:rPr>
          <w:rFonts w:ascii="仿宋" w:eastAsia="仿宋" w:hAnsi="仿宋" w:cs="仿宋" w:hint="eastAsia"/>
          <w:sz w:val="32"/>
          <w:szCs w:val="32"/>
        </w:rPr>
        <w:t>基因突变或ALK融合阳性的患者，在开始安罗替尼治疗前应接受相应的标准靶向药物治疗后进展、且至少接受过</w:t>
      </w:r>
      <w:r>
        <w:rPr>
          <w:rFonts w:ascii="仿宋" w:eastAsia="仿宋" w:hAnsi="仿宋" w:cs="仿宋"/>
          <w:sz w:val="32"/>
          <w:szCs w:val="32"/>
        </w:rPr>
        <w:t>2</w:t>
      </w:r>
      <w:r>
        <w:rPr>
          <w:rFonts w:ascii="仿宋" w:eastAsia="仿宋" w:hAnsi="仿宋" w:cs="仿宋" w:hint="eastAsia"/>
          <w:sz w:val="32"/>
          <w:szCs w:val="32"/>
        </w:rPr>
        <w:t>种系统化疗后出现进展或复发。</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中央型肺鳞状细胞癌或具有大咯血风险的患者、重度肝肾功能不全的患者禁用。</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安罗替尼有增加发生出血事件和发生血栓</w:t>
      </w:r>
      <w:r>
        <w:rPr>
          <w:rFonts w:ascii="仿宋" w:eastAsia="仿宋" w:hAnsi="仿宋" w:cs="仿宋"/>
          <w:sz w:val="32"/>
          <w:szCs w:val="32"/>
        </w:rPr>
        <w:t>/</w:t>
      </w:r>
      <w:r>
        <w:rPr>
          <w:rFonts w:ascii="仿宋" w:eastAsia="仿宋" w:hAnsi="仿宋" w:cs="仿宋" w:hint="eastAsia"/>
          <w:sz w:val="32"/>
          <w:szCs w:val="32"/>
        </w:rPr>
        <w:t>栓塞事件的风险，因此，具有出血风险、凝血功能异常的患者、具有血栓</w:t>
      </w:r>
      <w:r>
        <w:rPr>
          <w:rFonts w:ascii="仿宋" w:eastAsia="仿宋" w:hAnsi="仿宋" w:cs="仿宋"/>
          <w:sz w:val="32"/>
          <w:szCs w:val="32"/>
        </w:rPr>
        <w:t>/</w:t>
      </w:r>
      <w:r>
        <w:rPr>
          <w:rFonts w:ascii="仿宋" w:eastAsia="仿宋" w:hAnsi="仿宋" w:cs="仿宋" w:hint="eastAsia"/>
          <w:sz w:val="32"/>
          <w:szCs w:val="32"/>
        </w:rPr>
        <w:t>卒中病史的患者以及服用抗凝药物及相关疾病的患者应慎用。</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老年患者（</w:t>
      </w:r>
      <w:r>
        <w:rPr>
          <w:rFonts w:ascii="仿宋" w:eastAsia="仿宋" w:hAnsi="仿宋" w:cs="仿宋"/>
          <w:sz w:val="32"/>
          <w:szCs w:val="32"/>
        </w:rPr>
        <w:t>65</w:t>
      </w:r>
      <w:r>
        <w:rPr>
          <w:rFonts w:ascii="仿宋" w:eastAsia="仿宋" w:hAnsi="仿宋" w:cs="仿宋" w:hint="eastAsia"/>
          <w:sz w:val="32"/>
          <w:szCs w:val="32"/>
        </w:rPr>
        <w:t>岁以上）使用安罗替尼时，无需调整用</w:t>
      </w:r>
      <w:r>
        <w:rPr>
          <w:rFonts w:ascii="仿宋" w:eastAsia="仿宋" w:hAnsi="仿宋" w:cs="仿宋" w:hint="eastAsia"/>
          <w:sz w:val="32"/>
          <w:szCs w:val="32"/>
        </w:rPr>
        <w:lastRenderedPageBreak/>
        <w:t>药剂量。</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5.</w:t>
      </w:r>
      <w:r>
        <w:rPr>
          <w:rFonts w:ascii="仿宋" w:eastAsia="仿宋" w:hAnsi="仿宋" w:cs="仿宋" w:hint="eastAsia"/>
          <w:sz w:val="32"/>
          <w:szCs w:val="32"/>
        </w:rPr>
        <w:t>用药期间应密切关注高血压的发生，常规降压药物可有效控制患者血压。</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6.</w:t>
      </w:r>
      <w:r>
        <w:rPr>
          <w:rFonts w:ascii="仿宋" w:eastAsia="仿宋" w:hAnsi="仿宋" w:cs="仿宋" w:hint="eastAsia"/>
          <w:sz w:val="32"/>
          <w:szCs w:val="32"/>
        </w:rPr>
        <w:t>避免与</w:t>
      </w:r>
      <w:r>
        <w:rPr>
          <w:rFonts w:ascii="仿宋" w:eastAsia="仿宋" w:hAnsi="仿宋" w:cs="仿宋"/>
          <w:sz w:val="32"/>
          <w:szCs w:val="32"/>
        </w:rPr>
        <w:t>CYP1A2</w:t>
      </w:r>
      <w:r>
        <w:rPr>
          <w:rFonts w:ascii="仿宋" w:eastAsia="仿宋" w:hAnsi="仿宋" w:cs="仿宋" w:hint="eastAsia"/>
          <w:sz w:val="32"/>
          <w:szCs w:val="32"/>
        </w:rPr>
        <w:t>和</w:t>
      </w:r>
      <w:r>
        <w:rPr>
          <w:rFonts w:ascii="仿宋" w:eastAsia="仿宋" w:hAnsi="仿宋" w:cs="仿宋"/>
          <w:sz w:val="32"/>
          <w:szCs w:val="32"/>
        </w:rPr>
        <w:t>CYP3A4</w:t>
      </w:r>
      <w:r>
        <w:rPr>
          <w:rFonts w:ascii="仿宋" w:eastAsia="仿宋" w:hAnsi="仿宋" w:cs="仿宋" w:hint="eastAsia"/>
          <w:sz w:val="32"/>
          <w:szCs w:val="32"/>
        </w:rPr>
        <w:t>的强抑制剂和强诱导剂联用。</w:t>
      </w:r>
    </w:p>
    <w:p w:rsidR="00B23A40" w:rsidRDefault="00DD1A0D">
      <w:p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十三、纳武利尤单抗 n</w:t>
      </w:r>
      <w:r>
        <w:rPr>
          <w:rFonts w:ascii="黑体" w:eastAsia="黑体" w:hAnsi="黑体" w:cs="黑体"/>
          <w:sz w:val="32"/>
          <w:szCs w:val="32"/>
        </w:rPr>
        <w:t>ivolumab</w:t>
      </w:r>
    </w:p>
    <w:p w:rsidR="00B23A40" w:rsidRDefault="00DD1A0D">
      <w:pPr>
        <w:spacing w:line="360" w:lineRule="auto"/>
        <w:ind w:firstLineChars="200" w:firstLine="613"/>
        <w:rPr>
          <w:rFonts w:ascii="仿宋" w:eastAsia="仿宋" w:hAnsi="仿宋" w:cs="Times New Roman"/>
          <w:b/>
          <w:bCs/>
          <w:w w:val="95"/>
          <w:sz w:val="32"/>
          <w:szCs w:val="32"/>
          <w:lang w:val="it-IT"/>
        </w:rPr>
      </w:pPr>
      <w:r>
        <w:rPr>
          <w:rFonts w:ascii="仿宋" w:eastAsia="仿宋" w:hAnsi="仿宋" w:cs="仿宋" w:hint="eastAsia"/>
          <w:b/>
          <w:bCs/>
          <w:w w:val="95"/>
          <w:sz w:val="32"/>
          <w:szCs w:val="32"/>
        </w:rPr>
        <w:t>制剂与规格</w:t>
      </w:r>
      <w:r>
        <w:rPr>
          <w:rFonts w:ascii="仿宋" w:eastAsia="仿宋" w:hAnsi="仿宋" w:cs="仿宋" w:hint="eastAsia"/>
          <w:w w:val="95"/>
          <w:sz w:val="32"/>
          <w:szCs w:val="32"/>
          <w:lang w:val="it-IT"/>
        </w:rPr>
        <w:t>：注射液：</w:t>
      </w:r>
      <w:r>
        <w:rPr>
          <w:rFonts w:ascii="仿宋" w:eastAsia="仿宋" w:hAnsi="仿宋" w:cs="仿宋"/>
          <w:w w:val="95"/>
          <w:sz w:val="32"/>
          <w:szCs w:val="32"/>
          <w:lang w:val="it-IT"/>
        </w:rPr>
        <w:t>40mg</w:t>
      </w:r>
      <w:r>
        <w:rPr>
          <w:rFonts w:ascii="仿宋" w:eastAsia="仿宋" w:hAnsi="仿宋" w:cs="仿宋" w:hint="eastAsia"/>
          <w:w w:val="95"/>
          <w:sz w:val="32"/>
          <w:szCs w:val="32"/>
          <w:lang w:val="it-IT"/>
        </w:rPr>
        <w:t>（</w:t>
      </w:r>
      <w:r>
        <w:rPr>
          <w:rFonts w:ascii="仿宋" w:eastAsia="仿宋" w:hAnsi="仿宋" w:cs="仿宋"/>
          <w:w w:val="95"/>
          <w:sz w:val="32"/>
          <w:szCs w:val="32"/>
          <w:lang w:val="it-IT"/>
        </w:rPr>
        <w:t>4ml</w:t>
      </w:r>
      <w:r>
        <w:rPr>
          <w:rFonts w:ascii="仿宋" w:eastAsia="仿宋" w:hAnsi="仿宋" w:cs="仿宋" w:hint="eastAsia"/>
          <w:w w:val="95"/>
          <w:sz w:val="32"/>
          <w:szCs w:val="32"/>
          <w:lang w:val="it-IT"/>
        </w:rPr>
        <w:t>）</w:t>
      </w:r>
      <w:r>
        <w:rPr>
          <w:rFonts w:ascii="仿宋" w:eastAsia="仿宋" w:hAnsi="仿宋" w:cs="仿宋"/>
          <w:w w:val="95"/>
          <w:sz w:val="32"/>
          <w:szCs w:val="32"/>
          <w:lang w:val="it-IT"/>
        </w:rPr>
        <w:t>/</w:t>
      </w:r>
      <w:r>
        <w:rPr>
          <w:rFonts w:ascii="仿宋" w:eastAsia="仿宋" w:hAnsi="仿宋" w:cs="仿宋" w:hint="eastAsia"/>
          <w:w w:val="95"/>
          <w:sz w:val="32"/>
          <w:szCs w:val="32"/>
          <w:lang w:val="it-IT"/>
        </w:rPr>
        <w:t>瓶、</w:t>
      </w:r>
      <w:r>
        <w:rPr>
          <w:rFonts w:ascii="仿宋" w:eastAsia="仿宋" w:hAnsi="仿宋" w:cs="仿宋"/>
          <w:w w:val="95"/>
          <w:sz w:val="32"/>
          <w:szCs w:val="32"/>
          <w:lang w:val="it-IT"/>
        </w:rPr>
        <w:t>100mg</w:t>
      </w:r>
      <w:r>
        <w:rPr>
          <w:rFonts w:ascii="仿宋" w:eastAsia="仿宋" w:hAnsi="仿宋" w:cs="仿宋" w:hint="eastAsia"/>
          <w:w w:val="95"/>
          <w:sz w:val="32"/>
          <w:szCs w:val="32"/>
          <w:lang w:val="it-IT"/>
        </w:rPr>
        <w:t>（</w:t>
      </w:r>
      <w:r>
        <w:rPr>
          <w:rFonts w:ascii="仿宋" w:eastAsia="仿宋" w:hAnsi="仿宋" w:cs="仿宋"/>
          <w:w w:val="95"/>
          <w:sz w:val="32"/>
          <w:szCs w:val="32"/>
          <w:lang w:val="it-IT"/>
        </w:rPr>
        <w:t>10ml</w:t>
      </w:r>
      <w:r>
        <w:rPr>
          <w:rFonts w:ascii="仿宋" w:eastAsia="仿宋" w:hAnsi="仿宋" w:cs="仿宋" w:hint="eastAsia"/>
          <w:w w:val="95"/>
          <w:sz w:val="32"/>
          <w:szCs w:val="32"/>
          <w:lang w:val="it-IT"/>
        </w:rPr>
        <w:t>）</w:t>
      </w:r>
      <w:r>
        <w:rPr>
          <w:rFonts w:ascii="仿宋" w:eastAsia="仿宋" w:hAnsi="仿宋" w:cs="仿宋"/>
          <w:w w:val="95"/>
          <w:sz w:val="32"/>
          <w:szCs w:val="32"/>
          <w:lang w:val="it-IT"/>
        </w:rPr>
        <w:t>/</w:t>
      </w:r>
      <w:r>
        <w:rPr>
          <w:rFonts w:ascii="仿宋" w:eastAsia="仿宋" w:hAnsi="仿宋" w:cs="仿宋" w:hint="eastAsia"/>
          <w:w w:val="95"/>
          <w:sz w:val="32"/>
          <w:szCs w:val="32"/>
          <w:lang w:val="it-IT"/>
        </w:rPr>
        <w:t>瓶</w:t>
      </w:r>
    </w:p>
    <w:p w:rsidR="00B23A40" w:rsidRDefault="00DD1A0D">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rPr>
        <w:t>适应证</w:t>
      </w:r>
      <w:r>
        <w:rPr>
          <w:rFonts w:ascii="仿宋" w:eastAsia="仿宋" w:hAnsi="仿宋" w:cs="仿宋" w:hint="eastAsia"/>
          <w:sz w:val="32"/>
          <w:szCs w:val="32"/>
        </w:rPr>
        <w:t>：本品单药适用于既往接受过含铂方案化疗后疾</w:t>
      </w:r>
      <w:r>
        <w:rPr>
          <w:rFonts w:ascii="仿宋" w:eastAsia="仿宋" w:hAnsi="仿宋" w:cs="仿宋" w:hint="eastAsia"/>
          <w:w w:val="98"/>
          <w:sz w:val="32"/>
          <w:szCs w:val="32"/>
        </w:rPr>
        <w:t>病进展或不可耐受的局部晚期或转移性</w:t>
      </w:r>
      <w:r>
        <w:rPr>
          <w:rFonts w:ascii="仿宋" w:eastAsia="仿宋" w:hAnsi="仿宋" w:cs="仿宋"/>
          <w:w w:val="98"/>
          <w:sz w:val="32"/>
          <w:szCs w:val="32"/>
        </w:rPr>
        <w:t>NSCLC</w:t>
      </w:r>
      <w:r>
        <w:rPr>
          <w:rFonts w:ascii="仿宋" w:eastAsia="仿宋" w:hAnsi="仿宋" w:cs="仿宋" w:hint="eastAsia"/>
          <w:sz w:val="32"/>
          <w:szCs w:val="32"/>
        </w:rPr>
        <w:t>成人患者的二线治疗，需排除</w:t>
      </w:r>
      <w:r>
        <w:rPr>
          <w:rFonts w:ascii="仿宋" w:eastAsia="仿宋" w:hAnsi="仿宋" w:cs="仿宋"/>
          <w:sz w:val="32"/>
          <w:szCs w:val="32"/>
        </w:rPr>
        <w:t>EGFR</w:t>
      </w:r>
      <w:r>
        <w:rPr>
          <w:rFonts w:ascii="仿宋" w:eastAsia="仿宋" w:hAnsi="仿宋" w:cs="仿宋" w:hint="eastAsia"/>
          <w:sz w:val="32"/>
          <w:szCs w:val="32"/>
        </w:rPr>
        <w:t>基因突变和ALK融合的患者。</w:t>
      </w:r>
    </w:p>
    <w:p w:rsidR="00B23A40" w:rsidRDefault="00DD1A0D">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局部晚期或转移性</w:t>
      </w:r>
      <w:r>
        <w:rPr>
          <w:rFonts w:ascii="仿宋" w:eastAsia="仿宋" w:hAnsi="仿宋" w:cs="仿宋"/>
          <w:sz w:val="32"/>
          <w:szCs w:val="32"/>
        </w:rPr>
        <w:t>NSCLC</w:t>
      </w:r>
      <w:r>
        <w:rPr>
          <w:rFonts w:ascii="仿宋" w:eastAsia="仿宋" w:hAnsi="仿宋" w:cs="仿宋" w:hint="eastAsia"/>
          <w:sz w:val="32"/>
          <w:szCs w:val="32"/>
        </w:rPr>
        <w:t>成人患者，既往接受过含铂方案化疗后疾病进展或不可耐受。</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患者必须为</w:t>
      </w:r>
      <w:r>
        <w:rPr>
          <w:rFonts w:ascii="仿宋" w:eastAsia="仿宋" w:hAnsi="仿宋" w:cs="仿宋"/>
          <w:sz w:val="32"/>
          <w:szCs w:val="32"/>
        </w:rPr>
        <w:t>EGFR</w:t>
      </w:r>
      <w:r>
        <w:rPr>
          <w:rFonts w:ascii="仿宋" w:eastAsia="仿宋" w:hAnsi="仿宋" w:cs="仿宋" w:hint="eastAsia"/>
          <w:sz w:val="32"/>
          <w:szCs w:val="32"/>
        </w:rPr>
        <w:t>阴性和ALK阴性。</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只要观察到临床获益，应继续纳武利尤单抗治疗，直至患者不能耐受。有可能观察到非典型反应（例如最初几个月内肿瘤暂时增大或出现新的小病灶，随后肿瘤缩小）。如果患者临床症状稳定或持续减轻，即使有疾病进展的初步证据，基于总体临床获益的判断，可考虑继续应用本品治疗，直至证实疾病进展。</w:t>
      </w:r>
    </w:p>
    <w:p w:rsidR="00B23A40" w:rsidRDefault="00DD1A0D">
      <w:pPr>
        <w:spacing w:line="360" w:lineRule="auto"/>
        <w:ind w:firstLineChars="200" w:firstLine="640"/>
        <w:rPr>
          <w:rFonts w:ascii="仿宋" w:eastAsia="仿宋" w:hAnsi="仿宋" w:cs="Times New Roman"/>
          <w:color w:val="FF0000"/>
          <w:sz w:val="32"/>
          <w:szCs w:val="32"/>
        </w:rPr>
      </w:pPr>
      <w:r>
        <w:rPr>
          <w:rFonts w:ascii="仿宋" w:eastAsia="仿宋" w:hAnsi="仿宋" w:cs="仿宋"/>
          <w:sz w:val="32"/>
          <w:szCs w:val="32"/>
        </w:rPr>
        <w:t>4.</w:t>
      </w:r>
      <w:r>
        <w:rPr>
          <w:rFonts w:ascii="仿宋" w:eastAsia="仿宋" w:hAnsi="仿宋" w:cs="仿宋" w:hint="eastAsia"/>
          <w:sz w:val="32"/>
          <w:szCs w:val="32"/>
        </w:rPr>
        <w:t>纳武利尤单抗在中国基于</w:t>
      </w:r>
      <w:r>
        <w:rPr>
          <w:rFonts w:ascii="仿宋" w:eastAsia="仿宋" w:hAnsi="仿宋" w:cs="仿宋"/>
          <w:sz w:val="32"/>
          <w:szCs w:val="32"/>
        </w:rPr>
        <w:t>CheckMate 078</w:t>
      </w:r>
      <w:r>
        <w:rPr>
          <w:rFonts w:ascii="仿宋" w:eastAsia="仿宋" w:hAnsi="仿宋" w:cs="仿宋" w:hint="eastAsia"/>
          <w:sz w:val="32"/>
          <w:szCs w:val="32"/>
        </w:rPr>
        <w:t>研究，获批的剂量是</w:t>
      </w:r>
      <w:r>
        <w:rPr>
          <w:rFonts w:ascii="仿宋" w:eastAsia="仿宋" w:hAnsi="仿宋" w:cs="仿宋"/>
          <w:sz w:val="32"/>
          <w:szCs w:val="32"/>
        </w:rPr>
        <w:t>3mg/kg</w:t>
      </w:r>
      <w:r>
        <w:rPr>
          <w:rFonts w:ascii="仿宋" w:eastAsia="仿宋" w:hAnsi="仿宋" w:cs="仿宋" w:hint="eastAsia"/>
          <w:sz w:val="32"/>
          <w:szCs w:val="32"/>
        </w:rPr>
        <w:t>，每</w:t>
      </w:r>
      <w:r>
        <w:rPr>
          <w:rFonts w:ascii="仿宋" w:eastAsia="仿宋" w:hAnsi="仿宋" w:cs="仿宋"/>
          <w:sz w:val="32"/>
          <w:szCs w:val="32"/>
        </w:rPr>
        <w:t>2</w:t>
      </w:r>
      <w:r>
        <w:rPr>
          <w:rFonts w:ascii="仿宋" w:eastAsia="仿宋" w:hAnsi="仿宋" w:cs="仿宋" w:hint="eastAsia"/>
          <w:sz w:val="32"/>
          <w:szCs w:val="32"/>
        </w:rPr>
        <w:t>周一次，</w:t>
      </w:r>
      <w:r>
        <w:rPr>
          <w:rFonts w:ascii="仿宋" w:eastAsia="仿宋" w:hAnsi="仿宋" w:cs="仿宋"/>
          <w:sz w:val="32"/>
          <w:szCs w:val="32"/>
        </w:rPr>
        <w:t>60</w:t>
      </w:r>
      <w:r>
        <w:rPr>
          <w:rFonts w:ascii="仿宋" w:eastAsia="仿宋" w:hAnsi="仿宋" w:cs="仿宋" w:hint="eastAsia"/>
          <w:sz w:val="32"/>
          <w:szCs w:val="32"/>
        </w:rPr>
        <w:t>分钟输注。在欧美，基</w:t>
      </w:r>
      <w:r>
        <w:rPr>
          <w:rFonts w:ascii="仿宋" w:eastAsia="仿宋" w:hAnsi="仿宋" w:cs="仿宋" w:hint="eastAsia"/>
          <w:sz w:val="32"/>
          <w:szCs w:val="32"/>
        </w:rPr>
        <w:lastRenderedPageBreak/>
        <w:t>于</w:t>
      </w:r>
      <w:r>
        <w:rPr>
          <w:rFonts w:ascii="仿宋" w:eastAsia="仿宋" w:hAnsi="仿宋" w:cs="仿宋"/>
          <w:sz w:val="32"/>
          <w:szCs w:val="32"/>
        </w:rPr>
        <w:t>PPK</w:t>
      </w:r>
      <w:r>
        <w:rPr>
          <w:rFonts w:ascii="仿宋" w:eastAsia="仿宋" w:hAnsi="仿宋" w:cs="仿宋" w:hint="eastAsia"/>
          <w:sz w:val="32"/>
          <w:szCs w:val="32"/>
        </w:rPr>
        <w:t>研究，纳武利尤单抗已经获批固定剂量，</w:t>
      </w:r>
      <w:r>
        <w:rPr>
          <w:rFonts w:ascii="仿宋" w:eastAsia="仿宋" w:hAnsi="仿宋" w:cs="仿宋"/>
          <w:sz w:val="32"/>
          <w:szCs w:val="32"/>
        </w:rPr>
        <w:t>480mg</w:t>
      </w:r>
      <w:r>
        <w:rPr>
          <w:rFonts w:ascii="仿宋" w:eastAsia="仿宋" w:hAnsi="仿宋" w:cs="仿宋" w:hint="eastAsia"/>
          <w:sz w:val="32"/>
          <w:szCs w:val="32"/>
        </w:rPr>
        <w:t>，每</w:t>
      </w:r>
      <w:r>
        <w:rPr>
          <w:rFonts w:ascii="仿宋" w:eastAsia="仿宋" w:hAnsi="仿宋" w:cs="仿宋"/>
          <w:sz w:val="32"/>
          <w:szCs w:val="32"/>
        </w:rPr>
        <w:t>4</w:t>
      </w:r>
      <w:r>
        <w:rPr>
          <w:rFonts w:ascii="仿宋" w:eastAsia="仿宋" w:hAnsi="仿宋" w:cs="仿宋" w:hint="eastAsia"/>
          <w:sz w:val="32"/>
          <w:szCs w:val="32"/>
        </w:rPr>
        <w:t>周一次或者</w:t>
      </w:r>
      <w:r>
        <w:rPr>
          <w:rFonts w:ascii="仿宋" w:eastAsia="仿宋" w:hAnsi="仿宋" w:cs="仿宋"/>
          <w:sz w:val="32"/>
          <w:szCs w:val="32"/>
        </w:rPr>
        <w:t>240mg</w:t>
      </w:r>
      <w:r>
        <w:rPr>
          <w:rFonts w:ascii="仿宋" w:eastAsia="仿宋" w:hAnsi="仿宋" w:cs="仿宋" w:hint="eastAsia"/>
          <w:sz w:val="32"/>
          <w:szCs w:val="32"/>
        </w:rPr>
        <w:t>，每</w:t>
      </w:r>
      <w:r>
        <w:rPr>
          <w:rFonts w:ascii="仿宋" w:eastAsia="仿宋" w:hAnsi="仿宋" w:cs="仿宋"/>
          <w:sz w:val="32"/>
          <w:szCs w:val="32"/>
        </w:rPr>
        <w:t>2</w:t>
      </w:r>
      <w:r>
        <w:rPr>
          <w:rFonts w:ascii="仿宋" w:eastAsia="仿宋" w:hAnsi="仿宋" w:cs="仿宋" w:hint="eastAsia"/>
          <w:sz w:val="32"/>
          <w:szCs w:val="32"/>
        </w:rPr>
        <w:t>周一次，</w:t>
      </w:r>
      <w:r>
        <w:rPr>
          <w:rFonts w:ascii="仿宋" w:eastAsia="仿宋" w:hAnsi="仿宋" w:cs="仿宋"/>
          <w:sz w:val="32"/>
          <w:szCs w:val="32"/>
        </w:rPr>
        <w:t>30</w:t>
      </w:r>
      <w:r>
        <w:rPr>
          <w:rFonts w:ascii="仿宋" w:eastAsia="仿宋" w:hAnsi="仿宋" w:cs="仿宋" w:hint="eastAsia"/>
          <w:sz w:val="32"/>
          <w:szCs w:val="32"/>
        </w:rPr>
        <w:t>分钟输注。</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5.</w:t>
      </w:r>
      <w:r>
        <w:rPr>
          <w:rFonts w:ascii="仿宋" w:eastAsia="仿宋" w:hAnsi="仿宋" w:cs="仿宋" w:hint="eastAsia"/>
          <w:sz w:val="32"/>
          <w:szCs w:val="32"/>
        </w:rPr>
        <w:t>根据个体患者的安全性和耐受性，可暂停给药或停药。不建议增加或减少剂量。</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6.</w:t>
      </w:r>
      <w:r>
        <w:rPr>
          <w:rFonts w:ascii="仿宋" w:eastAsia="仿宋" w:hAnsi="仿宋" w:cs="仿宋" w:hint="eastAsia"/>
          <w:sz w:val="32"/>
          <w:szCs w:val="32"/>
        </w:rPr>
        <w:t>发生</w:t>
      </w:r>
      <w:r>
        <w:rPr>
          <w:rFonts w:ascii="仿宋" w:eastAsia="仿宋" w:hAnsi="仿宋" w:cs="仿宋"/>
          <w:sz w:val="32"/>
          <w:szCs w:val="32"/>
        </w:rPr>
        <w:t>4</w:t>
      </w:r>
      <w:r>
        <w:rPr>
          <w:rFonts w:ascii="仿宋" w:eastAsia="仿宋" w:hAnsi="仿宋" w:cs="仿宋" w:hint="eastAsia"/>
          <w:sz w:val="32"/>
          <w:szCs w:val="32"/>
        </w:rPr>
        <w:t>级或复发性</w:t>
      </w:r>
      <w:r>
        <w:rPr>
          <w:rFonts w:ascii="仿宋" w:eastAsia="仿宋" w:hAnsi="仿宋" w:cs="仿宋"/>
          <w:sz w:val="32"/>
          <w:szCs w:val="32"/>
        </w:rPr>
        <w:t>3</w:t>
      </w:r>
      <w:r>
        <w:rPr>
          <w:rFonts w:ascii="仿宋" w:eastAsia="仿宋" w:hAnsi="仿宋" w:cs="仿宋" w:hint="eastAsia"/>
          <w:sz w:val="32"/>
          <w:szCs w:val="32"/>
        </w:rPr>
        <w:t>级不良反应，虽然进行治疗调整但仍持续存在</w:t>
      </w:r>
      <w:r>
        <w:rPr>
          <w:rFonts w:ascii="仿宋" w:eastAsia="仿宋" w:hAnsi="仿宋" w:cs="仿宋"/>
          <w:sz w:val="32"/>
          <w:szCs w:val="32"/>
        </w:rPr>
        <w:t>2</w:t>
      </w:r>
      <w:r>
        <w:rPr>
          <w:rFonts w:ascii="仿宋" w:eastAsia="仿宋" w:hAnsi="仿宋" w:cs="仿宋" w:hint="eastAsia"/>
          <w:sz w:val="32"/>
          <w:szCs w:val="32"/>
        </w:rPr>
        <w:t>级或</w:t>
      </w:r>
      <w:r>
        <w:rPr>
          <w:rFonts w:ascii="仿宋" w:eastAsia="仿宋" w:hAnsi="仿宋" w:cs="仿宋"/>
          <w:sz w:val="32"/>
          <w:szCs w:val="32"/>
        </w:rPr>
        <w:t>3</w:t>
      </w:r>
      <w:r>
        <w:rPr>
          <w:rFonts w:ascii="仿宋" w:eastAsia="仿宋" w:hAnsi="仿宋" w:cs="仿宋" w:hint="eastAsia"/>
          <w:sz w:val="32"/>
          <w:szCs w:val="32"/>
        </w:rPr>
        <w:t>级不良反应，应永久性停用纳武利尤单抗。</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7.</w:t>
      </w:r>
      <w:r>
        <w:rPr>
          <w:rFonts w:ascii="仿宋" w:eastAsia="仿宋" w:hAnsi="仿宋" w:cs="仿宋" w:hint="eastAsia"/>
          <w:sz w:val="32"/>
          <w:szCs w:val="32"/>
        </w:rPr>
        <w:t>老年患者（≥</w:t>
      </w:r>
      <w:r>
        <w:rPr>
          <w:rFonts w:ascii="仿宋" w:eastAsia="仿宋" w:hAnsi="仿宋" w:cs="仿宋"/>
          <w:sz w:val="32"/>
          <w:szCs w:val="32"/>
        </w:rPr>
        <w:t>65</w:t>
      </w:r>
      <w:r>
        <w:rPr>
          <w:rFonts w:ascii="仿宋" w:eastAsia="仿宋" w:hAnsi="仿宋" w:cs="仿宋" w:hint="eastAsia"/>
          <w:sz w:val="32"/>
          <w:szCs w:val="32"/>
        </w:rPr>
        <w:t>岁）无需调整剂量。</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8.</w:t>
      </w:r>
      <w:r>
        <w:rPr>
          <w:rFonts w:ascii="仿宋" w:eastAsia="仿宋" w:hAnsi="仿宋" w:cs="仿宋" w:hint="eastAsia"/>
          <w:sz w:val="32"/>
          <w:szCs w:val="32"/>
        </w:rPr>
        <w:t>轻或中度肾功能损伤患者无需调整剂量。重度肾功能损伤患者的数据有限。</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9.</w:t>
      </w:r>
      <w:r>
        <w:rPr>
          <w:rFonts w:ascii="仿宋" w:eastAsia="仿宋" w:hAnsi="仿宋" w:cs="仿宋" w:hint="eastAsia"/>
          <w:sz w:val="32"/>
          <w:szCs w:val="32"/>
        </w:rPr>
        <w:t>轻或中度肝功能损伤患者无需调整剂量，没有对重度肝功能损伤患者进行本品的相关研究，重度（总胆红素＞</w:t>
      </w:r>
      <w:r>
        <w:rPr>
          <w:rFonts w:ascii="仿宋" w:eastAsia="仿宋" w:hAnsi="仿宋" w:cs="仿宋"/>
          <w:sz w:val="32"/>
          <w:szCs w:val="32"/>
        </w:rPr>
        <w:t>3</w:t>
      </w:r>
      <w:r>
        <w:rPr>
          <w:rFonts w:ascii="仿宋" w:eastAsia="仿宋" w:hAnsi="仿宋" w:cs="仿宋" w:hint="eastAsia"/>
          <w:sz w:val="32"/>
          <w:szCs w:val="32"/>
        </w:rPr>
        <w:t>倍</w:t>
      </w:r>
      <w:r>
        <w:rPr>
          <w:rFonts w:ascii="仿宋" w:eastAsia="仿宋" w:hAnsi="仿宋" w:cs="仿宋"/>
          <w:sz w:val="32"/>
          <w:szCs w:val="32"/>
        </w:rPr>
        <w:t>ULN</w:t>
      </w:r>
      <w:r>
        <w:rPr>
          <w:rFonts w:ascii="仿宋" w:eastAsia="仿宋" w:hAnsi="仿宋" w:cs="仿宋" w:hint="eastAsia"/>
          <w:sz w:val="32"/>
          <w:szCs w:val="32"/>
        </w:rPr>
        <w:t>和任何</w:t>
      </w:r>
      <w:r>
        <w:rPr>
          <w:rFonts w:ascii="仿宋" w:eastAsia="仿宋" w:hAnsi="仿宋" w:cs="仿宋"/>
          <w:sz w:val="32"/>
          <w:szCs w:val="32"/>
        </w:rPr>
        <w:t>AST</w:t>
      </w:r>
      <w:r>
        <w:rPr>
          <w:rFonts w:ascii="仿宋" w:eastAsia="仿宋" w:hAnsi="仿宋" w:cs="仿宋" w:hint="eastAsia"/>
          <w:sz w:val="32"/>
          <w:szCs w:val="32"/>
        </w:rPr>
        <w:t>）肝功能损伤患者必须慎用本品。</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10.</w:t>
      </w:r>
      <w:r>
        <w:rPr>
          <w:rFonts w:ascii="仿宋" w:eastAsia="仿宋" w:hAnsi="仿宋" w:cs="仿宋" w:hint="eastAsia"/>
          <w:sz w:val="32"/>
          <w:szCs w:val="32"/>
        </w:rPr>
        <w:t>纳武利尤单抗可引起免疫相关性不良反应。因为不良反应可能在纳武利尤单抗治疗期间或纳武利尤单抗治疗停止后的任何时间发生，应持续进行患者监测（至少至末次给药后</w:t>
      </w:r>
      <w:r>
        <w:rPr>
          <w:rFonts w:ascii="仿宋" w:eastAsia="仿宋" w:hAnsi="仿宋" w:cs="仿宋"/>
          <w:sz w:val="32"/>
          <w:szCs w:val="32"/>
        </w:rPr>
        <w:t>5</w:t>
      </w:r>
      <w:r>
        <w:rPr>
          <w:rFonts w:ascii="仿宋" w:eastAsia="仿宋" w:hAnsi="仿宋" w:cs="仿宋" w:hint="eastAsia"/>
          <w:sz w:val="32"/>
          <w:szCs w:val="32"/>
        </w:rPr>
        <w:t>个月）。</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11.</w:t>
      </w:r>
      <w:r>
        <w:rPr>
          <w:rFonts w:ascii="仿宋" w:eastAsia="仿宋" w:hAnsi="仿宋" w:cs="仿宋" w:hint="eastAsia"/>
          <w:sz w:val="32"/>
          <w:szCs w:val="32"/>
        </w:rPr>
        <w:t>对于疑似免疫相关性不良反应，应进行充分的评估以确认病因或排除其他病因。根据不良反应的严重程度，应暂停纳武利尤单抗治疗并给予糖皮质激素。若使用糖皮质激素免疫抑制疗法治疗不良反应，症状改善后，需至少</w:t>
      </w:r>
      <w:r>
        <w:rPr>
          <w:rFonts w:ascii="仿宋" w:eastAsia="仿宋" w:hAnsi="仿宋" w:cs="仿宋"/>
          <w:sz w:val="32"/>
          <w:szCs w:val="32"/>
        </w:rPr>
        <w:t>1</w:t>
      </w:r>
      <w:r>
        <w:rPr>
          <w:rFonts w:ascii="仿宋" w:eastAsia="仿宋" w:hAnsi="仿宋" w:cs="仿宋" w:hint="eastAsia"/>
          <w:sz w:val="32"/>
          <w:szCs w:val="32"/>
        </w:rPr>
        <w:t>个月的时间逐渐减量至停药。快速减量可能引起不良反应恶化或</w:t>
      </w:r>
      <w:r>
        <w:rPr>
          <w:rFonts w:ascii="仿宋" w:eastAsia="仿宋" w:hAnsi="仿宋" w:cs="仿宋" w:hint="eastAsia"/>
          <w:sz w:val="32"/>
          <w:szCs w:val="32"/>
        </w:rPr>
        <w:lastRenderedPageBreak/>
        <w:t>复发。如果虽使用了糖皮质激素但仍恶化或无改善，则应增加非糖皮质激素性免疫抑制治疗。</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12.</w:t>
      </w:r>
      <w:r>
        <w:rPr>
          <w:rFonts w:ascii="仿宋" w:eastAsia="仿宋" w:hAnsi="仿宋" w:cs="仿宋" w:hint="eastAsia"/>
          <w:sz w:val="32"/>
          <w:szCs w:val="32"/>
        </w:rPr>
        <w:t>在患者接受免疫抑制剂量的糖皮质激素或其他免疫抑制治疗期间，不可重新使用纳武利尤单抗治疗。</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13.</w:t>
      </w:r>
      <w:r>
        <w:rPr>
          <w:rFonts w:ascii="仿宋" w:eastAsia="仿宋" w:hAnsi="仿宋" w:cs="仿宋" w:hint="eastAsia"/>
          <w:sz w:val="32"/>
          <w:szCs w:val="32"/>
        </w:rPr>
        <w:t>如果出现任何重度、复发的免疫相关性不良反应以及任何危及生命的免疫相关性不良反应，必须永久停止纳武利尤单抗治疗。</w:t>
      </w:r>
    </w:p>
    <w:p w:rsidR="00B23A40" w:rsidRDefault="00DD1A0D">
      <w:pPr>
        <w:spacing w:line="360" w:lineRule="auto"/>
        <w:ind w:firstLineChars="200" w:firstLine="640"/>
        <w:rPr>
          <w:rFonts w:ascii="仿宋" w:eastAsia="仿宋" w:hAnsi="仿宋" w:cs="仿宋"/>
          <w:sz w:val="32"/>
          <w:szCs w:val="32"/>
        </w:rPr>
      </w:pPr>
      <w:r>
        <w:rPr>
          <w:rFonts w:ascii="仿宋" w:eastAsia="仿宋" w:hAnsi="仿宋" w:cs="仿宋"/>
          <w:sz w:val="32"/>
          <w:szCs w:val="32"/>
        </w:rPr>
        <w:t>14.</w:t>
      </w:r>
      <w:r>
        <w:rPr>
          <w:rFonts w:ascii="仿宋" w:eastAsia="仿宋" w:hAnsi="仿宋" w:cs="仿宋" w:hint="eastAsia"/>
          <w:sz w:val="32"/>
          <w:szCs w:val="32"/>
        </w:rPr>
        <w:t>纳武利尤单抗注射液每毫升含</w:t>
      </w:r>
      <w:r>
        <w:rPr>
          <w:rFonts w:ascii="仿宋" w:eastAsia="仿宋" w:hAnsi="仿宋" w:cs="仿宋"/>
          <w:sz w:val="32"/>
          <w:szCs w:val="32"/>
        </w:rPr>
        <w:t>0.1mm</w:t>
      </w:r>
      <w:r>
        <w:rPr>
          <w:rFonts w:ascii="仿宋" w:eastAsia="仿宋" w:hAnsi="仿宋" w:cs="仿宋" w:hint="eastAsia"/>
          <w:sz w:val="32"/>
          <w:szCs w:val="32"/>
        </w:rPr>
        <w:t>ol（或</w:t>
      </w:r>
      <w:r>
        <w:rPr>
          <w:rFonts w:ascii="仿宋" w:eastAsia="仿宋" w:hAnsi="仿宋" w:cs="仿宋"/>
          <w:sz w:val="32"/>
          <w:szCs w:val="32"/>
        </w:rPr>
        <w:t>2.5mg</w:t>
      </w:r>
      <w:r>
        <w:rPr>
          <w:rFonts w:ascii="仿宋" w:eastAsia="仿宋" w:hAnsi="仿宋" w:cs="仿宋" w:hint="eastAsia"/>
          <w:sz w:val="32"/>
          <w:szCs w:val="32"/>
        </w:rPr>
        <w:t>）钠，在对控制钠摄入的患者进行治疗时应考虑这一因素。</w:t>
      </w:r>
    </w:p>
    <w:p w:rsidR="00B23A40" w:rsidRDefault="00DD1A0D">
      <w:pPr>
        <w:spacing w:line="360" w:lineRule="auto"/>
        <w:ind w:firstLineChars="200" w:firstLine="640"/>
        <w:rPr>
          <w:rFonts w:ascii="仿宋" w:eastAsia="仿宋" w:hAnsi="仿宋" w:cs="仿宋"/>
          <w:sz w:val="32"/>
          <w:szCs w:val="32"/>
        </w:rPr>
      </w:pPr>
      <w:r>
        <w:rPr>
          <w:rFonts w:ascii="仿宋" w:eastAsia="仿宋" w:hAnsi="仿宋" w:cs="仿宋"/>
          <w:sz w:val="32"/>
          <w:szCs w:val="32"/>
        </w:rPr>
        <w:t>15.</w:t>
      </w:r>
      <w:r>
        <w:rPr>
          <w:rFonts w:ascii="仿宋" w:eastAsia="仿宋" w:hAnsi="仿宋" w:cs="仿宋" w:hint="eastAsia"/>
          <w:sz w:val="32"/>
          <w:szCs w:val="32"/>
        </w:rPr>
        <w:t>纳武利尤单抗是一种人单克隆抗体，因单克隆抗体不经CYP450或其他药物代谢酶代谢，因此，合并使用的药物对这些酶的抑制或诱导作用预期不会影响纳武利尤单抗的药代动力学性质。</w:t>
      </w:r>
    </w:p>
    <w:p w:rsidR="00B23A40" w:rsidRDefault="00DD1A0D">
      <w:pPr>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vertAlign w:val="superscript"/>
        </w:rPr>
        <w:t>※</w:t>
      </w:r>
      <w:r>
        <w:rPr>
          <w:rFonts w:ascii="仿宋" w:eastAsia="仿宋" w:hAnsi="仿宋" w:cs="仿宋" w:hint="eastAsia"/>
          <w:sz w:val="32"/>
          <w:szCs w:val="32"/>
        </w:rPr>
        <w:t>16.在美国，纳武利尤单抗获批用于接受过含铂方案化疗以及至少一种其他疗法的小细胞肺癌，目前国内尚未获批此适应证，可在与患者充分沟通的情况下使用。用法为240mg固定剂量，每2周一次，30分钟输注。</w:t>
      </w:r>
    </w:p>
    <w:p w:rsidR="00B23A40" w:rsidRDefault="00DD1A0D">
      <w:pPr>
        <w:ind w:firstLineChars="200" w:firstLine="640"/>
        <w:rPr>
          <w:rFonts w:ascii="黑体" w:eastAsia="黑体" w:hAnsi="黑体"/>
          <w:color w:val="000000"/>
          <w:sz w:val="32"/>
          <w:szCs w:val="32"/>
        </w:rPr>
      </w:pPr>
      <w:r>
        <w:rPr>
          <w:rFonts w:ascii="黑体" w:eastAsia="黑体" w:hAnsi="黑体" w:hint="eastAsia"/>
          <w:color w:val="000000"/>
          <w:sz w:val="32"/>
          <w:szCs w:val="32"/>
        </w:rPr>
        <w:t>十四、帕博利珠单抗 p</w:t>
      </w:r>
      <w:r>
        <w:rPr>
          <w:rFonts w:ascii="黑体" w:eastAsia="黑体" w:hAnsi="黑体"/>
          <w:color w:val="000000"/>
          <w:sz w:val="32"/>
          <w:szCs w:val="32"/>
        </w:rPr>
        <w:t>embrolizumab</w:t>
      </w:r>
    </w:p>
    <w:p w:rsidR="00B23A40" w:rsidRDefault="00DD1A0D">
      <w:pPr>
        <w:ind w:firstLineChars="200" w:firstLine="643"/>
        <w:rPr>
          <w:rFonts w:ascii="仿宋" w:eastAsia="仿宋" w:hAnsi="仿宋"/>
          <w:color w:val="000000"/>
          <w:sz w:val="32"/>
          <w:szCs w:val="32"/>
        </w:rPr>
      </w:pPr>
      <w:r>
        <w:rPr>
          <w:rFonts w:ascii="仿宋" w:eastAsia="仿宋" w:hAnsi="仿宋" w:hint="eastAsia"/>
          <w:b/>
          <w:color w:val="000000"/>
          <w:sz w:val="32"/>
          <w:szCs w:val="32"/>
        </w:rPr>
        <w:t>制剂与规格：</w:t>
      </w:r>
      <w:r>
        <w:rPr>
          <w:rFonts w:ascii="仿宋" w:eastAsia="仿宋" w:hAnsi="仿宋" w:hint="eastAsia"/>
          <w:color w:val="000000"/>
          <w:sz w:val="32"/>
          <w:szCs w:val="32"/>
        </w:rPr>
        <w:t xml:space="preserve">注射液：100mg（4ml）/瓶 </w:t>
      </w:r>
    </w:p>
    <w:p w:rsidR="00B23A40" w:rsidRDefault="00DD1A0D">
      <w:pPr>
        <w:ind w:firstLineChars="200" w:firstLine="643"/>
        <w:rPr>
          <w:rFonts w:ascii="仿宋" w:eastAsia="仿宋" w:hAnsi="仿宋"/>
          <w:b/>
          <w:color w:val="000000"/>
          <w:sz w:val="32"/>
          <w:szCs w:val="32"/>
        </w:rPr>
      </w:pPr>
      <w:r>
        <w:rPr>
          <w:rFonts w:ascii="仿宋" w:eastAsia="仿宋" w:hAnsi="仿宋" w:hint="eastAsia"/>
          <w:b/>
          <w:color w:val="000000"/>
          <w:sz w:val="32"/>
          <w:szCs w:val="32"/>
        </w:rPr>
        <w:t>适应证：</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1.帕博利珠单抗联合培美曲塞和铂类化疗药适用于EGFR基因突变阴性和ALK阴性的转移性非鳞状NSCLC的一线</w:t>
      </w:r>
      <w:r>
        <w:rPr>
          <w:rFonts w:ascii="仿宋" w:eastAsia="仿宋" w:hAnsi="仿宋" w:hint="eastAsia"/>
          <w:color w:val="000000"/>
          <w:sz w:val="32"/>
          <w:szCs w:val="32"/>
        </w:rPr>
        <w:lastRenderedPageBreak/>
        <w:t>治疗。</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2.帕博利珠单抗适用于由国家药品监督管理局批准的检测评估为PD-L1肿瘤比例分数（TPS）≥1%的EGFR基因突变阴性和</w:t>
      </w:r>
      <w:r>
        <w:rPr>
          <w:rFonts w:ascii="仿宋" w:eastAsia="仿宋" w:hAnsi="仿宋"/>
          <w:color w:val="000000"/>
          <w:sz w:val="32"/>
          <w:szCs w:val="32"/>
        </w:rPr>
        <w:t>ALK阴性的局部晚期或转移性NSCLC一线单药治疗。</w:t>
      </w:r>
    </w:p>
    <w:p w:rsidR="00B23A40" w:rsidRDefault="00DD1A0D">
      <w:pPr>
        <w:ind w:firstLineChars="200" w:firstLine="643"/>
        <w:rPr>
          <w:rFonts w:ascii="仿宋" w:eastAsia="仿宋" w:hAnsi="仿宋"/>
          <w:b/>
          <w:color w:val="000000"/>
          <w:sz w:val="32"/>
          <w:szCs w:val="32"/>
        </w:rPr>
      </w:pPr>
      <w:r>
        <w:rPr>
          <w:rFonts w:ascii="仿宋" w:eastAsia="仿宋" w:hAnsi="仿宋" w:hint="eastAsia"/>
          <w:b/>
          <w:color w:val="000000"/>
          <w:sz w:val="32"/>
          <w:szCs w:val="32"/>
        </w:rPr>
        <w:t>合理用药要点：</w:t>
      </w:r>
    </w:p>
    <w:p w:rsidR="00B23A40" w:rsidRDefault="00DD1A0D">
      <w:pPr>
        <w:ind w:firstLineChars="200" w:firstLine="640"/>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只要观察到临床获益，应继续使用帕博利珠单抗治疗至疾病进展或发生不可接受的毒性，有可能观察到非典型反应（例如，治疗最初几个月内肿瘤出现暂时增大或出现新的小病灶，随后肿瘤缩小）。如果患者临床症状稳定，即使有疾病进展的初步证据，但基于总体临床获益的判断，可考虑继续应用本品治疗，直至证实疾病进展。</w:t>
      </w:r>
    </w:p>
    <w:p w:rsidR="00B23A40" w:rsidRDefault="00DD1A0D">
      <w:pPr>
        <w:ind w:firstLineChars="200" w:firstLine="640"/>
        <w:rPr>
          <w:rFonts w:ascii="仿宋" w:eastAsia="仿宋" w:hAnsi="仿宋"/>
          <w:color w:val="000000"/>
          <w:sz w:val="32"/>
          <w:szCs w:val="32"/>
        </w:rPr>
      </w:pPr>
      <w:r>
        <w:rPr>
          <w:rFonts w:ascii="仿宋" w:eastAsia="仿宋" w:hAnsi="仿宋"/>
          <w:color w:val="000000"/>
          <w:sz w:val="32"/>
          <w:szCs w:val="32"/>
        </w:rPr>
        <w:t>2</w:t>
      </w:r>
      <w:r>
        <w:rPr>
          <w:rFonts w:ascii="仿宋" w:eastAsia="仿宋" w:hAnsi="仿宋" w:hint="eastAsia"/>
          <w:color w:val="000000"/>
          <w:sz w:val="32"/>
          <w:szCs w:val="32"/>
        </w:rPr>
        <w:t>.帕博利珠单抗经国家药品监督管理局获批的首个一线肺癌适应证是基于全球Ⅲ期临床研究KEYNOTE-189研究结果，在中国获批的肺癌适应证剂量是200mg固定剂量，通过静脉注射给药，每3周一次，每次持续至少30分钟。</w:t>
      </w:r>
    </w:p>
    <w:p w:rsidR="00B23A40" w:rsidRDefault="00DD1A0D">
      <w:pPr>
        <w:ind w:firstLineChars="200" w:firstLine="640"/>
        <w:rPr>
          <w:rFonts w:ascii="仿宋" w:eastAsia="仿宋" w:hAnsi="仿宋"/>
          <w:color w:val="000000"/>
          <w:sz w:val="32"/>
          <w:szCs w:val="32"/>
        </w:rPr>
      </w:pPr>
      <w:r>
        <w:rPr>
          <w:rFonts w:ascii="仿宋" w:eastAsia="仿宋" w:hAnsi="仿宋"/>
          <w:color w:val="000000"/>
          <w:sz w:val="32"/>
          <w:szCs w:val="32"/>
        </w:rPr>
        <w:t>3</w:t>
      </w:r>
      <w:r>
        <w:rPr>
          <w:rFonts w:ascii="仿宋" w:eastAsia="仿宋" w:hAnsi="仿宋" w:hint="eastAsia"/>
          <w:color w:val="000000"/>
          <w:sz w:val="32"/>
          <w:szCs w:val="32"/>
        </w:rPr>
        <w:t>.在使用本品之前应避免使用全身性糖皮质激素或免疫抑制剂，因为这些药物可能会影响本品的药效学活性及疗效。但在本品开始给药后，可使用全身性糖皮质激素或其他免疫抑制剂治疗免疫介导性不良反应。</w:t>
      </w:r>
    </w:p>
    <w:p w:rsidR="00B23A40" w:rsidRDefault="00DD1A0D">
      <w:pPr>
        <w:ind w:firstLineChars="200" w:firstLine="640"/>
        <w:rPr>
          <w:rFonts w:ascii="仿宋" w:eastAsia="仿宋" w:hAnsi="仿宋"/>
          <w:color w:val="000000"/>
          <w:sz w:val="32"/>
          <w:szCs w:val="32"/>
        </w:rPr>
      </w:pPr>
      <w:r>
        <w:rPr>
          <w:rFonts w:ascii="仿宋" w:eastAsia="仿宋" w:hAnsi="仿宋"/>
          <w:color w:val="000000"/>
          <w:sz w:val="32"/>
          <w:szCs w:val="32"/>
        </w:rPr>
        <w:t>4</w:t>
      </w:r>
      <w:r>
        <w:rPr>
          <w:rFonts w:ascii="仿宋" w:eastAsia="仿宋" w:hAnsi="仿宋" w:hint="eastAsia"/>
          <w:color w:val="000000"/>
          <w:sz w:val="32"/>
          <w:szCs w:val="32"/>
        </w:rPr>
        <w:t>.根据个体患者的安全性和耐受性，可能需要暂停给药或停药，不建议增加或减少剂量。</w:t>
      </w:r>
    </w:p>
    <w:p w:rsidR="00B23A40" w:rsidRDefault="00DD1A0D">
      <w:pPr>
        <w:ind w:firstLineChars="200" w:firstLine="640"/>
        <w:rPr>
          <w:rFonts w:ascii="仿宋" w:eastAsia="仿宋" w:hAnsi="仿宋"/>
          <w:color w:val="000000"/>
          <w:sz w:val="32"/>
          <w:szCs w:val="32"/>
        </w:rPr>
      </w:pPr>
      <w:r>
        <w:rPr>
          <w:rFonts w:ascii="仿宋" w:eastAsia="仿宋" w:hAnsi="仿宋"/>
          <w:color w:val="000000"/>
          <w:sz w:val="32"/>
          <w:szCs w:val="32"/>
        </w:rPr>
        <w:t>5</w:t>
      </w:r>
      <w:r>
        <w:rPr>
          <w:rFonts w:ascii="仿宋" w:eastAsia="仿宋" w:hAnsi="仿宋" w:hint="eastAsia"/>
          <w:color w:val="000000"/>
          <w:sz w:val="32"/>
          <w:szCs w:val="32"/>
        </w:rPr>
        <w:t>.发生4级或复发性3级不良反应，虽然进行治疗调整</w:t>
      </w:r>
      <w:r>
        <w:rPr>
          <w:rFonts w:ascii="仿宋" w:eastAsia="仿宋" w:hAnsi="仿宋" w:hint="eastAsia"/>
          <w:color w:val="000000"/>
          <w:sz w:val="32"/>
          <w:szCs w:val="32"/>
        </w:rPr>
        <w:lastRenderedPageBreak/>
        <w:t>但仍持续存在2级或3级不良反应，应永久性停用帕博利珠单抗。</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6.老年患者（≥65岁）无需调整剂量。</w:t>
      </w:r>
    </w:p>
    <w:p w:rsidR="00B23A40" w:rsidRDefault="00DD1A0D">
      <w:pPr>
        <w:ind w:firstLineChars="200" w:firstLine="640"/>
        <w:rPr>
          <w:rFonts w:ascii="仿宋" w:eastAsia="仿宋" w:hAnsi="仿宋"/>
          <w:color w:val="000000"/>
          <w:sz w:val="32"/>
          <w:szCs w:val="32"/>
        </w:rPr>
      </w:pPr>
      <w:r>
        <w:rPr>
          <w:rFonts w:ascii="仿宋" w:eastAsia="仿宋" w:hAnsi="仿宋"/>
          <w:color w:val="000000"/>
          <w:sz w:val="32"/>
          <w:szCs w:val="32"/>
        </w:rPr>
        <w:t>7</w:t>
      </w:r>
      <w:r>
        <w:rPr>
          <w:rFonts w:ascii="仿宋" w:eastAsia="仿宋" w:hAnsi="仿宋" w:hint="eastAsia"/>
          <w:color w:val="000000"/>
          <w:sz w:val="32"/>
          <w:szCs w:val="32"/>
        </w:rPr>
        <w:t>.轻或中度肾功能不全患者无需调整剂量，重度肾功能不全患者的数据有限。</w:t>
      </w:r>
    </w:p>
    <w:p w:rsidR="00B23A40" w:rsidRDefault="00DD1A0D">
      <w:pPr>
        <w:ind w:firstLineChars="200" w:firstLine="640"/>
        <w:rPr>
          <w:rFonts w:ascii="仿宋" w:eastAsia="仿宋" w:hAnsi="仿宋"/>
          <w:color w:val="000000"/>
          <w:sz w:val="32"/>
          <w:szCs w:val="32"/>
        </w:rPr>
      </w:pPr>
      <w:r>
        <w:rPr>
          <w:rFonts w:ascii="仿宋" w:eastAsia="仿宋" w:hAnsi="仿宋"/>
          <w:color w:val="000000"/>
          <w:sz w:val="32"/>
          <w:szCs w:val="32"/>
        </w:rPr>
        <w:t>8</w:t>
      </w:r>
      <w:r>
        <w:rPr>
          <w:rFonts w:ascii="仿宋" w:eastAsia="仿宋" w:hAnsi="仿宋" w:hint="eastAsia"/>
          <w:color w:val="000000"/>
          <w:sz w:val="32"/>
          <w:szCs w:val="32"/>
        </w:rPr>
        <w:t>.轻度肝功能损伤患者无需调整剂量，尚未在中度或重度肝功能不全患者中进行本品的相关研究。</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9.帕博利珠单抗可引起免疫相关性不良反应。因为不良反应可能在帕博利珠单抗治疗期间或帕博利珠单抗治疗停止后的任何时间发生，应持续进行患者监测（至少至末次给药后5个月）。</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10.对于疑似免疫相关性不良反应，应进行充分的评估以确认病因或排除其他病因。根据不良反应的严重程度，应暂时停用帕博利珠单抗，并应用皮质类固醇治疗。当免疫相关的不良反应改善至≤1级时，需至少一个月的时间逐步减少皮质类固醇的用量直至停药。基于有限的临床研究数据，发生皮质类固醇无法控制的免疫相关不良反应时可以考虑使用其他全身性免疫抑制剂。如果不良反应保持在≤1级，且皮质类固醇剂量已降至每天≤10mg泼尼松或等效剂量，则可在最后一次帕博利珠单抗给药后12周内重新开始帕博利珠单抗治疗。</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11.在患者接受免疫抑制剂量的糖皮质激素或其他免疫</w:t>
      </w:r>
      <w:r>
        <w:rPr>
          <w:rFonts w:ascii="仿宋" w:eastAsia="仿宋" w:hAnsi="仿宋" w:hint="eastAsia"/>
          <w:color w:val="000000"/>
          <w:sz w:val="32"/>
          <w:szCs w:val="32"/>
        </w:rPr>
        <w:lastRenderedPageBreak/>
        <w:t>抑制治疗期间，不可重新使用帕博利珠单抗治疗。</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12.如果出现任何重度、复发的免疫相关性不良反应以及任何危及生命的免疫相关性不良反应，必须永久停止帕博利珠单抗治疗。</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13.帕博利珠单抗是一种人单克隆抗体，因单克隆抗体不经CYP450或其他药物代谢酶代谢，因此，合并使用的药物对这些酶的抑制或诱导作用预期不会影响帕博利珠单抗的药代动力学性质。</w:t>
      </w:r>
    </w:p>
    <w:p w:rsidR="00B23A40" w:rsidRDefault="00DD1A0D">
      <w:pPr>
        <w:ind w:firstLineChars="200" w:firstLine="643"/>
        <w:rPr>
          <w:rFonts w:ascii="仿宋" w:eastAsia="仿宋" w:hAnsi="仿宋"/>
          <w:color w:val="000000"/>
          <w:sz w:val="32"/>
          <w:szCs w:val="32"/>
        </w:rPr>
      </w:pPr>
      <w:r>
        <w:rPr>
          <w:rFonts w:ascii="仿宋" w:eastAsia="仿宋" w:hAnsi="仿宋" w:cs="仿宋" w:hint="eastAsia"/>
          <w:b/>
          <w:bCs/>
          <w:sz w:val="32"/>
          <w:szCs w:val="32"/>
          <w:vertAlign w:val="superscript"/>
        </w:rPr>
        <w:t>※</w:t>
      </w:r>
      <w:r>
        <w:rPr>
          <w:rFonts w:ascii="仿宋" w:eastAsia="仿宋" w:hAnsi="仿宋" w:hint="eastAsia"/>
          <w:color w:val="000000"/>
          <w:sz w:val="32"/>
          <w:szCs w:val="32"/>
        </w:rPr>
        <w:t>14.美国FDA、欧盟</w:t>
      </w:r>
      <w:r>
        <w:rPr>
          <w:rFonts w:ascii="仿宋" w:eastAsia="仿宋" w:hAnsi="仿宋"/>
          <w:color w:val="000000"/>
          <w:sz w:val="32"/>
          <w:szCs w:val="32"/>
        </w:rPr>
        <w:t>EMA</w:t>
      </w:r>
      <w:r>
        <w:rPr>
          <w:rFonts w:ascii="仿宋" w:eastAsia="仿宋" w:hAnsi="仿宋" w:hint="eastAsia"/>
          <w:color w:val="000000"/>
          <w:sz w:val="32"/>
          <w:szCs w:val="32"/>
        </w:rPr>
        <w:t>和日本PMDA批准帕博利珠单抗的适应证还包括：在排除EGFR或ALK阳性基础上，用于PD-L1表达≥1%的晚期NSCLC二线单药治疗；联合紫杉醇或白蛋白紫杉醇和铂类化疗用于晚期鳞状细胞肺癌一线治疗。美国FDA批准帕博利珠单抗单药适用于经铂类为基础的化疗方案以及至少一种其他疗法治疗失败的晚期小细胞肺癌患者(即三线及三线以上的治疗)。目前国内尚未获批这些适应证，可在与患者充分沟通的情况下使用。</w:t>
      </w:r>
    </w:p>
    <w:p w:rsidR="00B23A40" w:rsidRDefault="00DD1A0D">
      <w:pPr>
        <w:ind w:firstLineChars="200" w:firstLine="640"/>
        <w:rPr>
          <w:rFonts w:ascii="黑体" w:eastAsia="黑体" w:hAnsi="黑体"/>
          <w:color w:val="000000"/>
          <w:sz w:val="32"/>
          <w:szCs w:val="32"/>
        </w:rPr>
      </w:pPr>
      <w:r>
        <w:rPr>
          <w:rFonts w:ascii="黑体" w:eastAsia="黑体" w:hAnsi="黑体" w:hint="eastAsia"/>
          <w:color w:val="000000"/>
          <w:sz w:val="32"/>
          <w:szCs w:val="32"/>
        </w:rPr>
        <w:t>十五、依维</w:t>
      </w:r>
      <w:r>
        <w:rPr>
          <w:rFonts w:ascii="黑体" w:eastAsia="黑体" w:hAnsi="黑体" w:hint="eastAsia"/>
          <w:b/>
          <w:color w:val="000000"/>
          <w:sz w:val="32"/>
          <w:szCs w:val="32"/>
        </w:rPr>
        <w:t>莫司</w:t>
      </w:r>
      <w:r>
        <w:rPr>
          <w:rFonts w:ascii="黑体" w:eastAsia="黑体" w:hAnsi="黑体"/>
          <w:color w:val="000000"/>
          <w:sz w:val="32"/>
          <w:szCs w:val="32"/>
        </w:rPr>
        <w:t>everolimus</w:t>
      </w:r>
    </w:p>
    <w:p w:rsidR="00B23A40" w:rsidRDefault="00DD1A0D">
      <w:pPr>
        <w:ind w:firstLineChars="200" w:firstLine="643"/>
        <w:rPr>
          <w:rFonts w:ascii="仿宋" w:eastAsia="仿宋" w:hAnsi="仿宋"/>
          <w:color w:val="000000"/>
          <w:sz w:val="32"/>
          <w:szCs w:val="32"/>
        </w:rPr>
      </w:pPr>
      <w:r>
        <w:rPr>
          <w:rFonts w:ascii="仿宋" w:eastAsia="仿宋" w:hAnsi="仿宋" w:hint="eastAsia"/>
          <w:b/>
          <w:color w:val="000000"/>
          <w:sz w:val="32"/>
          <w:szCs w:val="32"/>
        </w:rPr>
        <w:t>制剂与规格：</w:t>
      </w:r>
      <w:r>
        <w:rPr>
          <w:rFonts w:ascii="仿宋" w:eastAsia="仿宋" w:hAnsi="仿宋" w:hint="eastAsia"/>
          <w:color w:val="000000"/>
          <w:sz w:val="32"/>
          <w:szCs w:val="32"/>
        </w:rPr>
        <w:t>片剂：2.5mg、5mg、10mg</w:t>
      </w:r>
    </w:p>
    <w:p w:rsidR="00B23A40" w:rsidRDefault="00DD1A0D">
      <w:pPr>
        <w:ind w:firstLineChars="200" w:firstLine="643"/>
        <w:rPr>
          <w:rFonts w:ascii="仿宋" w:eastAsia="仿宋" w:hAnsi="仿宋"/>
          <w:color w:val="000000"/>
          <w:sz w:val="32"/>
          <w:szCs w:val="32"/>
        </w:rPr>
      </w:pPr>
      <w:r>
        <w:rPr>
          <w:rFonts w:ascii="仿宋" w:eastAsia="仿宋" w:hAnsi="仿宋" w:hint="eastAsia"/>
          <w:b/>
          <w:color w:val="000000"/>
          <w:sz w:val="32"/>
          <w:szCs w:val="32"/>
        </w:rPr>
        <w:t>适应证：</w:t>
      </w:r>
      <w:r>
        <w:rPr>
          <w:rFonts w:ascii="仿宋" w:eastAsia="仿宋" w:hAnsi="仿宋" w:hint="eastAsia"/>
          <w:color w:val="000000"/>
          <w:sz w:val="32"/>
          <w:szCs w:val="32"/>
        </w:rPr>
        <w:t>无法手术切除的、局部晚期或转移性的、分化良好的、进展期非功能性胃肠道或肺源神经内分泌肿瘤成人患者。</w:t>
      </w:r>
    </w:p>
    <w:p w:rsidR="00B23A40" w:rsidRDefault="00DD1A0D">
      <w:pPr>
        <w:ind w:firstLineChars="200" w:firstLine="643"/>
        <w:rPr>
          <w:rFonts w:ascii="仿宋" w:eastAsia="仿宋" w:hAnsi="仿宋"/>
          <w:b/>
          <w:color w:val="000000"/>
          <w:sz w:val="32"/>
          <w:szCs w:val="32"/>
        </w:rPr>
      </w:pPr>
      <w:r>
        <w:rPr>
          <w:rFonts w:ascii="仿宋" w:eastAsia="仿宋" w:hAnsi="仿宋" w:hint="eastAsia"/>
          <w:b/>
          <w:color w:val="000000"/>
          <w:sz w:val="32"/>
          <w:szCs w:val="32"/>
        </w:rPr>
        <w:t>合理用药要点：</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1.本品的推荐剂量为10mg每日一次口服给药，在每天同一时间服用。</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2.用一杯水整片送服本品片剂，不应咀嚼或压碎。对于无法吞咽片剂的患者，用药前将本品片剂放入一杯水中（约30ml）轻轻搅拌至完全溶解（大约需要7分钟）后立即服用。用相同容量的水清洗水杯并将清洗液全部服用，以确保服用了完整剂量。</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3.只要存在临床获益就应持续治疗，或使用至出现不能耐受的毒性反应时。</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4.在肾功能损伤患者中没有进行本品临床研究。预期肾功能损伤不会影响药物暴露，在肾功能损伤患者中不推荐调整依维莫司剂量。</w:t>
      </w:r>
    </w:p>
    <w:p w:rsidR="00B23A40" w:rsidRDefault="00DD1A0D">
      <w:pPr>
        <w:ind w:firstLineChars="200" w:firstLine="640"/>
        <w:rPr>
          <w:rFonts w:ascii="仿宋" w:eastAsia="仿宋" w:hAnsi="仿宋"/>
          <w:color w:val="000000"/>
          <w:sz w:val="32"/>
          <w:szCs w:val="32"/>
        </w:rPr>
      </w:pPr>
      <w:r>
        <w:rPr>
          <w:rFonts w:ascii="仿宋" w:eastAsia="仿宋" w:hAnsi="仿宋"/>
          <w:color w:val="000000"/>
          <w:sz w:val="32"/>
          <w:szCs w:val="32"/>
        </w:rPr>
        <w:t>5</w:t>
      </w:r>
      <w:r>
        <w:rPr>
          <w:rFonts w:ascii="仿宋" w:eastAsia="仿宋" w:hAnsi="仿宋" w:hint="eastAsia"/>
          <w:color w:val="000000"/>
          <w:sz w:val="32"/>
          <w:szCs w:val="32"/>
        </w:rPr>
        <w:t>.本品具有免疫抑制性，在开始本品治疗前应彻底治疗已经存在的侵入性真菌感染。</w:t>
      </w:r>
    </w:p>
    <w:p w:rsidR="00B23A40" w:rsidRDefault="00DD1A0D">
      <w:pPr>
        <w:ind w:firstLineChars="200" w:firstLine="640"/>
        <w:rPr>
          <w:rFonts w:ascii="仿宋" w:eastAsia="仿宋" w:hAnsi="仿宋"/>
          <w:color w:val="000000"/>
          <w:sz w:val="32"/>
          <w:szCs w:val="32"/>
        </w:rPr>
      </w:pPr>
      <w:r>
        <w:rPr>
          <w:rFonts w:ascii="仿宋" w:eastAsia="仿宋" w:hAnsi="仿宋"/>
          <w:color w:val="000000"/>
          <w:sz w:val="32"/>
          <w:szCs w:val="32"/>
        </w:rPr>
        <w:t>6</w:t>
      </w:r>
      <w:r>
        <w:rPr>
          <w:rFonts w:ascii="仿宋" w:eastAsia="仿宋" w:hAnsi="仿宋" w:hint="eastAsia"/>
          <w:color w:val="000000"/>
          <w:sz w:val="32"/>
          <w:szCs w:val="32"/>
        </w:rPr>
        <w:t>.对本品有效成份、其他雷帕霉素衍生物或本品中任何辅料过敏者禁用。在使用依维莫司和其他雷帕霉素衍生物患者中已观察到的过敏反应表现包括但不限于：过敏、呼吸困难、潮红、胸痛或血管性水肿（例如，伴或不伴呼吸功能不全的气道或舌肿胀）。</w:t>
      </w:r>
    </w:p>
    <w:p w:rsidR="00B23A40" w:rsidRDefault="00DD1A0D">
      <w:pPr>
        <w:ind w:firstLineChars="200" w:firstLine="640"/>
        <w:rPr>
          <w:rFonts w:ascii="仿宋" w:eastAsia="仿宋" w:hAnsi="仿宋"/>
          <w:color w:val="000000"/>
          <w:sz w:val="32"/>
          <w:szCs w:val="32"/>
        </w:rPr>
      </w:pPr>
      <w:r>
        <w:rPr>
          <w:rFonts w:ascii="仿宋" w:eastAsia="仿宋" w:hAnsi="仿宋"/>
          <w:color w:val="000000"/>
          <w:sz w:val="32"/>
          <w:szCs w:val="32"/>
        </w:rPr>
        <w:t>7</w:t>
      </w:r>
      <w:r>
        <w:rPr>
          <w:rFonts w:ascii="仿宋" w:eastAsia="仿宋" w:hAnsi="仿宋" w:hint="eastAsia"/>
          <w:color w:val="000000"/>
          <w:sz w:val="32"/>
          <w:szCs w:val="32"/>
        </w:rPr>
        <w:t>.口腔炎包括口腔溃疡和口腔黏膜炎。在临床试验中，发生率为44%～86%，4%～9%的患者报告了3级或4级口腔炎。口腔炎大部分在治疗的前8周内发生。如果发生口腔炎，建</w:t>
      </w:r>
      <w:r>
        <w:rPr>
          <w:rFonts w:ascii="仿宋" w:eastAsia="仿宋" w:hAnsi="仿宋" w:hint="eastAsia"/>
          <w:color w:val="000000"/>
          <w:sz w:val="32"/>
          <w:szCs w:val="32"/>
        </w:rPr>
        <w:lastRenderedPageBreak/>
        <w:t>议使用局部治疗。</w:t>
      </w:r>
    </w:p>
    <w:p w:rsidR="00B23A40" w:rsidRDefault="00DD1A0D">
      <w:pPr>
        <w:ind w:firstLineChars="200" w:firstLine="640"/>
        <w:rPr>
          <w:rFonts w:ascii="仿宋" w:eastAsia="仿宋" w:hAnsi="仿宋"/>
          <w:color w:val="000000"/>
          <w:sz w:val="32"/>
          <w:szCs w:val="32"/>
        </w:rPr>
      </w:pPr>
      <w:r>
        <w:rPr>
          <w:rFonts w:ascii="仿宋" w:eastAsia="仿宋" w:hAnsi="仿宋"/>
          <w:color w:val="000000"/>
          <w:sz w:val="32"/>
          <w:szCs w:val="32"/>
        </w:rPr>
        <w:t>8</w:t>
      </w:r>
      <w:r>
        <w:rPr>
          <w:rFonts w:ascii="仿宋" w:eastAsia="仿宋" w:hAnsi="仿宋" w:hint="eastAsia"/>
          <w:color w:val="000000"/>
          <w:sz w:val="32"/>
          <w:szCs w:val="32"/>
        </w:rPr>
        <w:t>.避免</w:t>
      </w:r>
      <w:r>
        <w:rPr>
          <w:rFonts w:ascii="仿宋" w:eastAsia="仿宋" w:hAnsi="仿宋"/>
          <w:color w:val="000000"/>
          <w:sz w:val="32"/>
          <w:szCs w:val="32"/>
        </w:rPr>
        <w:t>联</w:t>
      </w:r>
      <w:r>
        <w:rPr>
          <w:rFonts w:ascii="仿宋" w:eastAsia="仿宋" w:hAnsi="仿宋" w:hint="eastAsia"/>
          <w:color w:val="000000"/>
          <w:sz w:val="32"/>
          <w:szCs w:val="32"/>
        </w:rPr>
        <w:t>用CYP3A4强效抑制剂和CYP3A4强效诱导剂以及P-gp抑制剂。</w:t>
      </w:r>
    </w:p>
    <w:p w:rsidR="00B23A40" w:rsidRDefault="00B23A40">
      <w:pPr>
        <w:spacing w:line="360" w:lineRule="auto"/>
        <w:ind w:firstLineChars="200" w:firstLine="643"/>
        <w:jc w:val="center"/>
        <w:rPr>
          <w:rFonts w:ascii="仿宋" w:eastAsia="仿宋" w:hAnsi="仿宋" w:cs="Times New Roman"/>
          <w:b/>
          <w:bCs/>
          <w:sz w:val="32"/>
          <w:szCs w:val="32"/>
        </w:rPr>
      </w:pPr>
    </w:p>
    <w:p w:rsidR="00B23A40" w:rsidRDefault="00DD1A0D">
      <w:pPr>
        <w:spacing w:line="360" w:lineRule="auto"/>
        <w:ind w:firstLineChars="200" w:firstLine="883"/>
        <w:jc w:val="center"/>
        <w:rPr>
          <w:rFonts w:ascii="宋体" w:cs="Times New Roman"/>
          <w:b/>
          <w:bCs/>
          <w:sz w:val="44"/>
          <w:szCs w:val="44"/>
        </w:rPr>
      </w:pPr>
      <w:r>
        <w:rPr>
          <w:rFonts w:ascii="宋体" w:hAnsi="宋体" w:cs="宋体" w:hint="eastAsia"/>
          <w:b/>
          <w:bCs/>
          <w:sz w:val="44"/>
          <w:szCs w:val="44"/>
        </w:rPr>
        <w:t>消化系统肿瘤用药</w:t>
      </w:r>
    </w:p>
    <w:p w:rsidR="00B23A40" w:rsidRDefault="00B23A40">
      <w:pPr>
        <w:widowControl/>
        <w:spacing w:line="360" w:lineRule="auto"/>
        <w:ind w:firstLineChars="200" w:firstLine="643"/>
        <w:jc w:val="left"/>
        <w:rPr>
          <w:rFonts w:ascii="仿宋" w:eastAsia="仿宋" w:hAnsi="仿宋" w:cs="Times New Roman"/>
          <w:b/>
          <w:bCs/>
          <w:sz w:val="32"/>
          <w:szCs w:val="32"/>
        </w:rPr>
      </w:pPr>
    </w:p>
    <w:p w:rsidR="00B23A40" w:rsidRDefault="00DD1A0D">
      <w:pPr>
        <w:spacing w:line="360" w:lineRule="auto"/>
        <w:ind w:firstLineChars="200" w:firstLine="640"/>
        <w:rPr>
          <w:rFonts w:ascii="黑体" w:eastAsia="黑体" w:hAnsi="黑体" w:cs="Times New Roman"/>
          <w:sz w:val="32"/>
          <w:szCs w:val="32"/>
          <w:lang w:val="it-IT"/>
        </w:rPr>
      </w:pPr>
      <w:r>
        <w:rPr>
          <w:rFonts w:ascii="黑体" w:eastAsia="黑体" w:hAnsi="黑体" w:cs="黑体" w:hint="eastAsia"/>
          <w:sz w:val="32"/>
          <w:szCs w:val="32"/>
          <w:lang w:val="it-IT"/>
        </w:rPr>
        <w:t>一、</w:t>
      </w:r>
      <w:r>
        <w:rPr>
          <w:rFonts w:ascii="黑体" w:eastAsia="黑体" w:hAnsi="黑体" w:cs="黑体" w:hint="eastAsia"/>
          <w:sz w:val="32"/>
          <w:szCs w:val="32"/>
        </w:rPr>
        <w:t xml:space="preserve">索拉非尼 </w:t>
      </w:r>
      <w:r>
        <w:rPr>
          <w:rFonts w:ascii="黑体" w:eastAsia="黑体" w:hAnsi="黑体" w:cs="黑体"/>
          <w:sz w:val="32"/>
          <w:szCs w:val="32"/>
        </w:rPr>
        <w:t>sorafenib</w:t>
      </w:r>
    </w:p>
    <w:p w:rsidR="00B23A40" w:rsidRDefault="00DD1A0D">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片剂：</w:t>
      </w:r>
      <w:r>
        <w:rPr>
          <w:rFonts w:ascii="仿宋" w:eastAsia="仿宋" w:hAnsi="仿宋" w:cs="仿宋"/>
          <w:sz w:val="32"/>
          <w:szCs w:val="32"/>
        </w:rPr>
        <w:t xml:space="preserve">0.2g </w:t>
      </w:r>
    </w:p>
    <w:p w:rsidR="00B23A40" w:rsidRDefault="00DD1A0D">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rPr>
        <w:t>适应证：</w:t>
      </w:r>
      <w:r>
        <w:rPr>
          <w:rFonts w:ascii="仿宋" w:eastAsia="仿宋" w:hAnsi="仿宋" w:cs="仿宋" w:hint="eastAsia"/>
          <w:sz w:val="32"/>
          <w:szCs w:val="32"/>
        </w:rPr>
        <w:t>治疗无法手术或远处转移的肝细胞癌。</w:t>
      </w:r>
    </w:p>
    <w:p w:rsidR="00B23A40" w:rsidRDefault="00DD1A0D">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用药期间最常见的不良反应有腹泻、乏力、脱发、感染、手足皮肤反应、皮疹。</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推荐服用剂量为每次</w:t>
      </w:r>
      <w:r>
        <w:rPr>
          <w:rFonts w:ascii="仿宋" w:eastAsia="仿宋" w:hAnsi="仿宋" w:cs="仿宋"/>
          <w:sz w:val="32"/>
          <w:szCs w:val="32"/>
        </w:rPr>
        <w:t>0.4g</w:t>
      </w:r>
      <w:r>
        <w:rPr>
          <w:rFonts w:ascii="仿宋" w:eastAsia="仿宋" w:hAnsi="仿宋" w:cs="仿宋" w:hint="eastAsia"/>
          <w:sz w:val="32"/>
          <w:szCs w:val="32"/>
        </w:rPr>
        <w:t>、每日两次，空腹或伴低脂、中脂饮食服用，对疑似不良反应的处理包括暂停或减少用量，如需减少剂量，索拉非尼的剂量减为每日一次，每次</w:t>
      </w:r>
      <w:r>
        <w:rPr>
          <w:rFonts w:ascii="仿宋" w:eastAsia="仿宋" w:hAnsi="仿宋" w:cs="仿宋"/>
          <w:sz w:val="32"/>
          <w:szCs w:val="32"/>
        </w:rPr>
        <w:t>0.4g</w:t>
      </w:r>
      <w:r>
        <w:rPr>
          <w:rFonts w:ascii="仿宋" w:eastAsia="仿宋" w:hAnsi="仿宋" w:cs="仿宋" w:hint="eastAsia"/>
          <w:sz w:val="32"/>
          <w:szCs w:val="32"/>
        </w:rPr>
        <w:t>，口服。</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与通过</w:t>
      </w:r>
      <w:r>
        <w:rPr>
          <w:rFonts w:ascii="仿宋" w:eastAsia="仿宋" w:hAnsi="仿宋" w:cs="仿宋"/>
          <w:sz w:val="32"/>
          <w:szCs w:val="32"/>
        </w:rPr>
        <w:t>UGT1A1</w:t>
      </w:r>
      <w:r>
        <w:rPr>
          <w:rFonts w:ascii="仿宋" w:eastAsia="仿宋" w:hAnsi="仿宋" w:cs="仿宋" w:hint="eastAsia"/>
          <w:sz w:val="32"/>
          <w:szCs w:val="32"/>
        </w:rPr>
        <w:t>途径代谢</w:t>
      </w:r>
      <w:r>
        <w:rPr>
          <w:rFonts w:ascii="仿宋" w:eastAsia="仿宋" w:hAnsi="仿宋" w:cs="仿宋"/>
          <w:sz w:val="32"/>
          <w:szCs w:val="32"/>
        </w:rPr>
        <w:t>/</w:t>
      </w:r>
      <w:r>
        <w:rPr>
          <w:rFonts w:ascii="仿宋" w:eastAsia="仿宋" w:hAnsi="仿宋" w:cs="仿宋" w:hint="eastAsia"/>
          <w:sz w:val="32"/>
          <w:szCs w:val="32"/>
        </w:rPr>
        <w:t>清除的药物（如伊立替康、多西他赛）联合应用时需谨慎。与华法林合用时应定期检测</w:t>
      </w:r>
      <w:r>
        <w:rPr>
          <w:rFonts w:ascii="仿宋" w:eastAsia="仿宋" w:hAnsi="仿宋" w:cs="仿宋"/>
          <w:sz w:val="32"/>
          <w:szCs w:val="32"/>
        </w:rPr>
        <w:t>INR</w:t>
      </w:r>
      <w:r>
        <w:rPr>
          <w:rFonts w:ascii="仿宋" w:eastAsia="仿宋" w:hAnsi="仿宋" w:cs="仿宋" w:hint="eastAsia"/>
          <w:sz w:val="32"/>
          <w:szCs w:val="32"/>
        </w:rPr>
        <w:t>值。</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目前缺乏在晚期肝细胞癌患者中索拉非尼与介入治疗如肝动脉栓塞化疗（</w:t>
      </w:r>
      <w:r>
        <w:rPr>
          <w:rFonts w:ascii="仿宋" w:eastAsia="仿宋" w:hAnsi="仿宋" w:cs="仿宋"/>
          <w:sz w:val="32"/>
          <w:szCs w:val="32"/>
        </w:rPr>
        <w:t>TACE</w:t>
      </w:r>
      <w:r>
        <w:rPr>
          <w:rFonts w:ascii="仿宋" w:eastAsia="仿宋" w:hAnsi="仿宋" w:cs="仿宋" w:hint="eastAsia"/>
          <w:sz w:val="32"/>
          <w:szCs w:val="32"/>
        </w:rPr>
        <w:t>）比较的随机对照临床研究数据，因此尚不能明确本品相对介入治疗的优劣，也不能明确对既</w:t>
      </w:r>
      <w:r>
        <w:rPr>
          <w:rFonts w:ascii="仿宋" w:eastAsia="仿宋" w:hAnsi="仿宋" w:cs="仿宋" w:hint="eastAsia"/>
          <w:sz w:val="32"/>
          <w:szCs w:val="32"/>
        </w:rPr>
        <w:lastRenderedPageBreak/>
        <w:t>往接受过介入治疗后患者使用索拉非尼是否有益。</w:t>
      </w:r>
    </w:p>
    <w:p w:rsidR="00B23A40" w:rsidRDefault="00DD1A0D">
      <w:pPr>
        <w:spacing w:line="360" w:lineRule="auto"/>
        <w:ind w:firstLineChars="200" w:firstLine="640"/>
        <w:rPr>
          <w:rFonts w:ascii="仿宋" w:eastAsia="仿宋" w:hAnsi="仿宋" w:cs="仿宋"/>
          <w:sz w:val="32"/>
          <w:szCs w:val="32"/>
        </w:rPr>
      </w:pPr>
      <w:r>
        <w:rPr>
          <w:rFonts w:ascii="仿宋" w:eastAsia="仿宋" w:hAnsi="仿宋" w:cs="仿宋"/>
          <w:sz w:val="32"/>
          <w:szCs w:val="32"/>
        </w:rPr>
        <w:t>5.TACTICS</w:t>
      </w:r>
      <w:r>
        <w:rPr>
          <w:rFonts w:ascii="仿宋" w:eastAsia="仿宋" w:hAnsi="仿宋" w:cs="仿宋" w:hint="eastAsia"/>
          <w:sz w:val="32"/>
          <w:szCs w:val="32"/>
        </w:rPr>
        <w:t>研究（</w:t>
      </w:r>
      <w:r>
        <w:rPr>
          <w:rFonts w:ascii="仿宋" w:eastAsia="仿宋" w:hAnsi="仿宋" w:cs="仿宋"/>
          <w:sz w:val="32"/>
          <w:szCs w:val="32"/>
        </w:rPr>
        <w:t>NCT01217034</w:t>
      </w:r>
      <w:r>
        <w:rPr>
          <w:rFonts w:ascii="仿宋" w:eastAsia="仿宋" w:hAnsi="仿宋" w:cs="仿宋" w:hint="eastAsia"/>
          <w:sz w:val="32"/>
          <w:szCs w:val="32"/>
        </w:rPr>
        <w:t>）证实首次</w:t>
      </w:r>
      <w:r>
        <w:rPr>
          <w:rFonts w:ascii="仿宋" w:eastAsia="仿宋" w:hAnsi="仿宋" w:cs="仿宋"/>
          <w:sz w:val="32"/>
          <w:szCs w:val="32"/>
        </w:rPr>
        <w:t>TACE</w:t>
      </w:r>
      <w:r>
        <w:rPr>
          <w:rFonts w:ascii="仿宋" w:eastAsia="仿宋" w:hAnsi="仿宋" w:cs="仿宋" w:hint="eastAsia"/>
          <w:sz w:val="32"/>
          <w:szCs w:val="32"/>
        </w:rPr>
        <w:t>联合索拉非尼较索拉非尼组获益更佳。</w:t>
      </w:r>
    </w:p>
    <w:p w:rsidR="00B23A40" w:rsidRDefault="00DD1A0D">
      <w:pPr>
        <w:widowControl/>
        <w:spacing w:line="360" w:lineRule="auto"/>
        <w:ind w:firstLineChars="200" w:firstLine="640"/>
        <w:jc w:val="left"/>
        <w:rPr>
          <w:rFonts w:ascii="黑体" w:eastAsia="黑体" w:hAnsi="黑体" w:cs="Times New Roman"/>
          <w:sz w:val="32"/>
          <w:szCs w:val="32"/>
        </w:rPr>
      </w:pPr>
      <w:r>
        <w:rPr>
          <w:rFonts w:ascii="黑体" w:eastAsia="黑体" w:hAnsi="黑体" w:cs="黑体" w:hint="eastAsia"/>
          <w:sz w:val="32"/>
          <w:szCs w:val="32"/>
        </w:rPr>
        <w:t>二、瑞戈非尼 r</w:t>
      </w:r>
      <w:r>
        <w:rPr>
          <w:rFonts w:ascii="黑体" w:eastAsia="黑体" w:hAnsi="黑体" w:cs="黑体"/>
          <w:sz w:val="32"/>
          <w:szCs w:val="32"/>
        </w:rPr>
        <w:t>egorafenib</w:t>
      </w:r>
    </w:p>
    <w:p w:rsidR="00B23A40" w:rsidRDefault="00DD1A0D">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片剂：</w:t>
      </w:r>
      <w:r>
        <w:rPr>
          <w:rFonts w:ascii="仿宋" w:eastAsia="仿宋" w:hAnsi="仿宋" w:cs="仿宋"/>
          <w:sz w:val="32"/>
          <w:szCs w:val="32"/>
        </w:rPr>
        <w:t xml:space="preserve">40mg </w:t>
      </w:r>
    </w:p>
    <w:p w:rsidR="00B23A40" w:rsidRDefault="00DD1A0D">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rPr>
        <w:t>适应证：</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既往接受过索拉非尼治疗的肝细胞癌患者。</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既往接受过伊马替尼及舒尼替尼治疗</w:t>
      </w:r>
      <w:r>
        <w:rPr>
          <w:rFonts w:ascii="仿宋" w:eastAsia="仿宋" w:hAnsi="仿宋" w:cs="仿宋" w:hint="eastAsia"/>
          <w:w w:val="98"/>
          <w:sz w:val="32"/>
          <w:szCs w:val="32"/>
        </w:rPr>
        <w:t>的局部晚期的、无法手术切除的或转移性胃肠间质瘤患者。</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既往接受过氟尿嘧啶、奥沙利铂和伊立替康为基础的化疗，以及既往接受过或不适合接受抗</w:t>
      </w:r>
      <w:r>
        <w:rPr>
          <w:rFonts w:ascii="仿宋" w:eastAsia="仿宋" w:hAnsi="仿宋" w:cs="仿宋"/>
          <w:sz w:val="32"/>
          <w:szCs w:val="32"/>
        </w:rPr>
        <w:t>VEGF</w:t>
      </w:r>
      <w:r>
        <w:rPr>
          <w:rFonts w:ascii="仿宋" w:eastAsia="仿宋" w:hAnsi="仿宋" w:cs="仿宋" w:hint="eastAsia"/>
          <w:sz w:val="32"/>
          <w:szCs w:val="32"/>
        </w:rPr>
        <w:t>治疗、抗</w:t>
      </w:r>
      <w:r>
        <w:rPr>
          <w:rFonts w:ascii="仿宋" w:eastAsia="仿宋" w:hAnsi="仿宋" w:cs="仿宋"/>
          <w:sz w:val="32"/>
          <w:szCs w:val="32"/>
        </w:rPr>
        <w:t>EGFR</w:t>
      </w:r>
      <w:r>
        <w:rPr>
          <w:rFonts w:ascii="仿宋" w:eastAsia="仿宋" w:hAnsi="仿宋" w:cs="仿宋" w:hint="eastAsia"/>
          <w:sz w:val="32"/>
          <w:szCs w:val="32"/>
        </w:rPr>
        <w:t>治疗（</w:t>
      </w:r>
      <w:r>
        <w:rPr>
          <w:rFonts w:ascii="仿宋" w:eastAsia="仿宋" w:hAnsi="仿宋" w:cs="仿宋"/>
          <w:sz w:val="32"/>
          <w:szCs w:val="32"/>
        </w:rPr>
        <w:t>RAS</w:t>
      </w:r>
      <w:r>
        <w:rPr>
          <w:rFonts w:ascii="仿宋" w:eastAsia="仿宋" w:hAnsi="仿宋" w:cs="仿宋" w:hint="eastAsia"/>
          <w:sz w:val="32"/>
          <w:szCs w:val="32"/>
        </w:rPr>
        <w:t>野生型）的转移性结直肠癌患者。</w:t>
      </w:r>
    </w:p>
    <w:p w:rsidR="00B23A40" w:rsidRDefault="00DD1A0D">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用药前无需进行基因检测。</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药品说明书推荐剂量为</w:t>
      </w:r>
      <w:r>
        <w:rPr>
          <w:rFonts w:ascii="仿宋" w:eastAsia="仿宋" w:hAnsi="仿宋" w:cs="仿宋"/>
          <w:sz w:val="32"/>
          <w:szCs w:val="32"/>
        </w:rPr>
        <w:t>160mg</w:t>
      </w:r>
      <w:r>
        <w:rPr>
          <w:rFonts w:ascii="仿宋" w:eastAsia="仿宋" w:hAnsi="仿宋" w:cs="仿宋" w:hint="eastAsia"/>
          <w:sz w:val="32"/>
          <w:szCs w:val="32"/>
        </w:rPr>
        <w:t>口服，每日一次，建议与食物同服，用药</w:t>
      </w:r>
      <w:r>
        <w:rPr>
          <w:rFonts w:ascii="仿宋" w:eastAsia="仿宋" w:hAnsi="仿宋" w:cs="仿宋"/>
          <w:sz w:val="32"/>
          <w:szCs w:val="32"/>
        </w:rPr>
        <w:t>3</w:t>
      </w:r>
      <w:r>
        <w:rPr>
          <w:rFonts w:ascii="仿宋" w:eastAsia="仿宋" w:hAnsi="仿宋" w:cs="仿宋" w:hint="eastAsia"/>
          <w:sz w:val="32"/>
          <w:szCs w:val="32"/>
        </w:rPr>
        <w:t>周停药</w:t>
      </w:r>
      <w:r>
        <w:rPr>
          <w:rFonts w:ascii="仿宋" w:eastAsia="仿宋" w:hAnsi="仿宋" w:cs="仿宋"/>
          <w:sz w:val="32"/>
          <w:szCs w:val="32"/>
        </w:rPr>
        <w:t>1</w:t>
      </w:r>
      <w:r>
        <w:rPr>
          <w:rFonts w:ascii="仿宋" w:eastAsia="仿宋" w:hAnsi="仿宋" w:cs="仿宋" w:hint="eastAsia"/>
          <w:sz w:val="32"/>
          <w:szCs w:val="32"/>
        </w:rPr>
        <w:t>周。基于个人的安全及耐受性考虑，可能需要中</w:t>
      </w:r>
      <w:r>
        <w:rPr>
          <w:rFonts w:ascii="仿宋" w:eastAsia="仿宋" w:hAnsi="仿宋" w:cs="仿宋" w:hint="eastAsia"/>
          <w:w w:val="97"/>
          <w:sz w:val="32"/>
          <w:szCs w:val="32"/>
        </w:rPr>
        <w:t>断或降低剂量，也可以考虑采用</w:t>
      </w:r>
      <w:r>
        <w:rPr>
          <w:rFonts w:ascii="仿宋" w:eastAsia="仿宋" w:hAnsi="仿宋" w:cs="仿宋"/>
          <w:w w:val="97"/>
          <w:sz w:val="32"/>
          <w:szCs w:val="32"/>
        </w:rPr>
        <w:t>80</w:t>
      </w:r>
      <w:r>
        <w:rPr>
          <w:rFonts w:ascii="仿宋" w:eastAsia="仿宋" w:hAnsi="仿宋" w:cs="仿宋" w:hint="eastAsia"/>
          <w:w w:val="97"/>
          <w:sz w:val="32"/>
          <w:szCs w:val="32"/>
        </w:rPr>
        <w:t>～</w:t>
      </w:r>
      <w:r>
        <w:rPr>
          <w:rFonts w:ascii="仿宋" w:eastAsia="仿宋" w:hAnsi="仿宋" w:cs="仿宋"/>
          <w:w w:val="97"/>
          <w:sz w:val="32"/>
          <w:szCs w:val="32"/>
        </w:rPr>
        <w:t>120mg</w:t>
      </w:r>
      <w:r>
        <w:rPr>
          <w:rFonts w:ascii="仿宋" w:eastAsia="仿宋" w:hAnsi="仿宋" w:cs="仿宋" w:hint="eastAsia"/>
          <w:w w:val="97"/>
          <w:sz w:val="32"/>
          <w:szCs w:val="32"/>
        </w:rPr>
        <w:t>起始剂量逐渐递增。</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亚洲人群最常见不良反应为手足皮肤反应、肝功能异常（高胆红素血症、丙氨酸氨基转移酶升高、门冬氨酸氨基转移酶升高）和高血压</w:t>
      </w:r>
      <w:r w:rsidR="00985C52">
        <w:rPr>
          <w:rFonts w:ascii="仿宋" w:eastAsia="仿宋" w:hAnsi="仿宋" w:cs="仿宋"/>
          <w:sz w:val="32"/>
          <w:szCs w:val="32"/>
        </w:rPr>
        <w:t>，</w:t>
      </w:r>
      <w:r>
        <w:rPr>
          <w:rFonts w:ascii="仿宋" w:eastAsia="仿宋" w:hAnsi="仿宋" w:cs="仿宋" w:hint="eastAsia"/>
          <w:sz w:val="32"/>
          <w:szCs w:val="32"/>
        </w:rPr>
        <w:t>同时</w:t>
      </w:r>
      <w:r w:rsidR="00985C52">
        <w:rPr>
          <w:rFonts w:ascii="仿宋" w:eastAsia="仿宋" w:hAnsi="仿宋" w:cs="仿宋"/>
          <w:sz w:val="32"/>
          <w:szCs w:val="32"/>
        </w:rPr>
        <w:t>，</w:t>
      </w:r>
      <w:r>
        <w:rPr>
          <w:rFonts w:ascii="仿宋" w:eastAsia="仿宋" w:hAnsi="仿宋" w:cs="仿宋" w:hint="eastAsia"/>
          <w:sz w:val="32"/>
          <w:szCs w:val="32"/>
        </w:rPr>
        <w:t>还要注意疼痛、乏力、腹泻、食欲下降及进食减少等不良反应；最严重的不良反应为重度</w:t>
      </w:r>
      <w:r>
        <w:rPr>
          <w:rFonts w:ascii="仿宋" w:eastAsia="仿宋" w:hAnsi="仿宋" w:cs="仿宋" w:hint="eastAsia"/>
          <w:sz w:val="32"/>
          <w:szCs w:val="32"/>
        </w:rPr>
        <w:lastRenderedPageBreak/>
        <w:t>肝功能损伤、出血、胃肠道穿孔及感染；有血栓、栓塞病史者应谨慎使用。</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对瑞戈非尼任一活性物质或辅料有超敏反应的患者禁用。</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5.</w:t>
      </w:r>
      <w:r>
        <w:rPr>
          <w:rFonts w:ascii="仿宋" w:eastAsia="仿宋" w:hAnsi="仿宋" w:cs="仿宋" w:hint="eastAsia"/>
          <w:sz w:val="32"/>
          <w:szCs w:val="32"/>
        </w:rPr>
        <w:t>避免联用CYP3A4强效抑制剂和CYP3A4强效诱导剂。</w:t>
      </w:r>
    </w:p>
    <w:p w:rsidR="00B23A40" w:rsidRDefault="00DD1A0D">
      <w:pPr>
        <w:ind w:firstLineChars="200" w:firstLine="640"/>
        <w:rPr>
          <w:rFonts w:ascii="黑体" w:eastAsia="黑体" w:hAnsi="黑体"/>
          <w:color w:val="000000"/>
          <w:sz w:val="32"/>
          <w:szCs w:val="32"/>
        </w:rPr>
      </w:pPr>
      <w:r>
        <w:rPr>
          <w:rFonts w:ascii="黑体" w:eastAsia="黑体" w:hAnsi="黑体" w:hint="eastAsia"/>
          <w:color w:val="000000"/>
          <w:sz w:val="32"/>
          <w:szCs w:val="32"/>
        </w:rPr>
        <w:t>三、仑伐替尼 l</w:t>
      </w:r>
      <w:r>
        <w:rPr>
          <w:rFonts w:ascii="黑体" w:eastAsia="黑体" w:hAnsi="黑体"/>
          <w:color w:val="000000"/>
          <w:sz w:val="32"/>
          <w:szCs w:val="32"/>
        </w:rPr>
        <w:t>envatinib</w:t>
      </w:r>
    </w:p>
    <w:p w:rsidR="00B23A40" w:rsidRDefault="00DD1A0D">
      <w:pPr>
        <w:ind w:firstLineChars="200" w:firstLine="643"/>
        <w:rPr>
          <w:rFonts w:ascii="仿宋" w:eastAsia="仿宋" w:hAnsi="仿宋"/>
          <w:color w:val="000000"/>
          <w:sz w:val="32"/>
          <w:szCs w:val="32"/>
        </w:rPr>
      </w:pPr>
      <w:r>
        <w:rPr>
          <w:rFonts w:ascii="仿宋" w:eastAsia="仿宋" w:hAnsi="仿宋" w:hint="eastAsia"/>
          <w:b/>
          <w:color w:val="000000"/>
          <w:sz w:val="32"/>
          <w:szCs w:val="32"/>
        </w:rPr>
        <w:t>制剂与规格：</w:t>
      </w:r>
      <w:r>
        <w:rPr>
          <w:rFonts w:ascii="仿宋" w:eastAsia="仿宋" w:hAnsi="仿宋" w:hint="eastAsia"/>
          <w:color w:val="000000"/>
          <w:sz w:val="32"/>
          <w:szCs w:val="32"/>
        </w:rPr>
        <w:t xml:space="preserve">胶囊：4mg </w:t>
      </w:r>
    </w:p>
    <w:p w:rsidR="00B23A40" w:rsidRDefault="00DD1A0D">
      <w:pPr>
        <w:ind w:firstLineChars="200" w:firstLine="643"/>
        <w:rPr>
          <w:rFonts w:ascii="仿宋" w:eastAsia="仿宋" w:hAnsi="仿宋"/>
          <w:color w:val="000000"/>
          <w:sz w:val="32"/>
          <w:szCs w:val="32"/>
        </w:rPr>
      </w:pPr>
      <w:r>
        <w:rPr>
          <w:rFonts w:ascii="仿宋" w:eastAsia="仿宋" w:hAnsi="仿宋" w:hint="eastAsia"/>
          <w:b/>
          <w:color w:val="000000"/>
          <w:sz w:val="32"/>
          <w:szCs w:val="32"/>
        </w:rPr>
        <w:t>适应证：</w:t>
      </w:r>
      <w:r>
        <w:rPr>
          <w:rFonts w:ascii="仿宋" w:eastAsia="仿宋" w:hAnsi="仿宋" w:hint="eastAsia"/>
          <w:color w:val="000000"/>
          <w:sz w:val="32"/>
          <w:szCs w:val="32"/>
        </w:rPr>
        <w:t>既往未接受过全身系统治疗的不可切除的肝细胞癌患者。</w:t>
      </w:r>
    </w:p>
    <w:p w:rsidR="00B23A40" w:rsidRDefault="00DD1A0D">
      <w:pPr>
        <w:ind w:firstLineChars="200" w:firstLine="643"/>
        <w:rPr>
          <w:rFonts w:ascii="仿宋" w:eastAsia="仿宋" w:hAnsi="仿宋"/>
          <w:b/>
          <w:color w:val="000000"/>
          <w:sz w:val="32"/>
          <w:szCs w:val="32"/>
        </w:rPr>
      </w:pPr>
      <w:r>
        <w:rPr>
          <w:rFonts w:ascii="仿宋" w:eastAsia="仿宋" w:hAnsi="仿宋" w:hint="eastAsia"/>
          <w:b/>
          <w:color w:val="000000"/>
          <w:sz w:val="32"/>
          <w:szCs w:val="32"/>
        </w:rPr>
        <w:t xml:space="preserve">合理用药要点： </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1.用药期间最常见的不良反应有高血压、疲乏、腹泻、食欲下降、体重降低、关节痛/肌痛、腹痛、掌跖红肿综合征、蛋白尿、出血事件、发音困难、甲状腺功能减退症、恶心，严重的不良反应包括肝衰竭、脑出血、呼吸衰竭。</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2.与甲状腺癌和肾癌不同，仑伐替尼在肝癌的药代动力学在临床上受到体重的显著影响：对于体重＜60kg的患者，推荐日剂量为8mg，每日一次；对于体重＞60kg的患者，推荐日剂量为12mg，每日一次。</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3.仑伐替尼应在每天固定时间服用，空腹或与食物同服均可。如果患者遗漏一次用药且无法在12小时内服用，无需补服，应按常规用药时间进行下一次服药。</w:t>
      </w:r>
    </w:p>
    <w:p w:rsidR="00B23A40" w:rsidRDefault="00DD1A0D">
      <w:pPr>
        <w:spacing w:line="360" w:lineRule="auto"/>
        <w:ind w:firstLineChars="200" w:firstLine="640"/>
        <w:jc w:val="left"/>
        <w:rPr>
          <w:rFonts w:ascii="黑体" w:eastAsia="黑体" w:hAnsi="黑体" w:cs="Times New Roman"/>
          <w:sz w:val="32"/>
          <w:szCs w:val="32"/>
        </w:rPr>
      </w:pPr>
      <w:r>
        <w:rPr>
          <w:rFonts w:ascii="黑体" w:eastAsia="黑体" w:hAnsi="黑体" w:cs="黑体" w:hint="eastAsia"/>
          <w:sz w:val="32"/>
          <w:szCs w:val="32"/>
        </w:rPr>
        <w:t xml:space="preserve">四、曲妥珠单抗 </w:t>
      </w:r>
      <w:r>
        <w:rPr>
          <w:rFonts w:ascii="黑体" w:eastAsia="黑体" w:hAnsi="黑体" w:cs="黑体"/>
          <w:sz w:val="32"/>
          <w:szCs w:val="32"/>
        </w:rPr>
        <w:t>trastuzumab</w:t>
      </w:r>
    </w:p>
    <w:p w:rsidR="00B23A40" w:rsidRDefault="00DD1A0D">
      <w:pPr>
        <w:spacing w:line="360" w:lineRule="auto"/>
        <w:ind w:firstLineChars="200" w:firstLine="643"/>
        <w:jc w:val="left"/>
        <w:rPr>
          <w:rFonts w:ascii="仿宋" w:eastAsia="仿宋" w:hAnsi="仿宋" w:cs="Times New Roman"/>
          <w:kern w:val="0"/>
          <w:sz w:val="32"/>
          <w:szCs w:val="32"/>
        </w:rPr>
      </w:pPr>
      <w:r>
        <w:rPr>
          <w:rFonts w:ascii="仿宋" w:eastAsia="仿宋" w:hAnsi="仿宋" w:cs="仿宋" w:hint="eastAsia"/>
          <w:b/>
          <w:bCs/>
          <w:sz w:val="32"/>
          <w:szCs w:val="32"/>
        </w:rPr>
        <w:lastRenderedPageBreak/>
        <w:t>制剂与规格：</w:t>
      </w:r>
      <w:r>
        <w:rPr>
          <w:rFonts w:ascii="仿宋" w:eastAsia="仿宋" w:hAnsi="仿宋" w:cs="仿宋" w:hint="eastAsia"/>
          <w:sz w:val="32"/>
          <w:szCs w:val="32"/>
        </w:rPr>
        <w:t>针剂：</w:t>
      </w:r>
      <w:r>
        <w:rPr>
          <w:rFonts w:ascii="仿宋" w:eastAsia="仿宋" w:hAnsi="仿宋" w:cs="仿宋"/>
          <w:sz w:val="32"/>
          <w:szCs w:val="32"/>
        </w:rPr>
        <w:t>440mg</w:t>
      </w:r>
      <w:r>
        <w:rPr>
          <w:rFonts w:ascii="仿宋" w:eastAsia="仿宋" w:hAnsi="仿宋" w:cs="仿宋" w:hint="eastAsia"/>
          <w:sz w:val="32"/>
          <w:szCs w:val="32"/>
        </w:rPr>
        <w:t>（</w:t>
      </w:r>
      <w:r>
        <w:rPr>
          <w:rFonts w:ascii="仿宋" w:eastAsia="仿宋" w:hAnsi="仿宋" w:cs="仿宋"/>
          <w:sz w:val="32"/>
          <w:szCs w:val="32"/>
        </w:rPr>
        <w:t>20ml</w:t>
      </w:r>
      <w:r>
        <w:rPr>
          <w:rFonts w:ascii="仿宋" w:eastAsia="仿宋" w:hAnsi="仿宋" w:cs="仿宋" w:hint="eastAsia"/>
          <w:sz w:val="32"/>
          <w:szCs w:val="32"/>
        </w:rPr>
        <w:t>）</w:t>
      </w:r>
      <w:r>
        <w:rPr>
          <w:rFonts w:ascii="仿宋" w:eastAsia="仿宋" w:hAnsi="仿宋" w:cs="仿宋"/>
          <w:sz w:val="32"/>
          <w:szCs w:val="32"/>
        </w:rPr>
        <w:t>/</w:t>
      </w:r>
      <w:r>
        <w:rPr>
          <w:rFonts w:ascii="仿宋" w:eastAsia="仿宋" w:hAnsi="仿宋" w:cs="仿宋" w:hint="eastAsia"/>
          <w:sz w:val="32"/>
          <w:szCs w:val="32"/>
        </w:rPr>
        <w:t>瓶</w:t>
      </w:r>
    </w:p>
    <w:p w:rsidR="00B23A40" w:rsidRDefault="00DD1A0D">
      <w:pPr>
        <w:spacing w:line="360" w:lineRule="auto"/>
        <w:ind w:firstLineChars="200" w:firstLine="643"/>
        <w:jc w:val="left"/>
        <w:rPr>
          <w:rFonts w:ascii="仿宋" w:eastAsia="仿宋" w:hAnsi="仿宋" w:cs="仿宋"/>
          <w:sz w:val="32"/>
          <w:szCs w:val="32"/>
        </w:rPr>
      </w:pPr>
      <w:r>
        <w:rPr>
          <w:rFonts w:ascii="仿宋" w:eastAsia="仿宋" w:hAnsi="仿宋" w:cs="仿宋" w:hint="eastAsia"/>
          <w:b/>
          <w:bCs/>
          <w:sz w:val="32"/>
          <w:szCs w:val="32"/>
        </w:rPr>
        <w:t>适应证：</w:t>
      </w:r>
      <w:r>
        <w:rPr>
          <w:rFonts w:ascii="仿宋" w:eastAsia="仿宋" w:hAnsi="仿宋" w:cs="仿宋" w:hint="eastAsia"/>
          <w:sz w:val="32"/>
          <w:szCs w:val="32"/>
        </w:rPr>
        <w:t>本品联合卡培他滨或</w:t>
      </w:r>
      <w:r>
        <w:rPr>
          <w:rFonts w:ascii="仿宋" w:eastAsia="仿宋" w:hAnsi="仿宋" w:cs="仿宋"/>
          <w:sz w:val="32"/>
          <w:szCs w:val="32"/>
        </w:rPr>
        <w:t>5-</w:t>
      </w:r>
      <w:r>
        <w:rPr>
          <w:rFonts w:ascii="仿宋" w:eastAsia="仿宋" w:hAnsi="仿宋" w:cs="仿宋" w:hint="eastAsia"/>
          <w:sz w:val="32"/>
          <w:szCs w:val="32"/>
        </w:rPr>
        <w:t>氟尿嘧啶和顺铂适用于既往未接受过针对转移性疾病治疗的</w:t>
      </w:r>
      <w:r>
        <w:rPr>
          <w:rFonts w:ascii="仿宋" w:eastAsia="仿宋" w:hAnsi="仿宋" w:cs="仿宋"/>
          <w:sz w:val="32"/>
          <w:szCs w:val="32"/>
        </w:rPr>
        <w:t>HER2</w:t>
      </w:r>
      <w:r>
        <w:rPr>
          <w:rFonts w:ascii="仿宋" w:eastAsia="仿宋" w:hAnsi="仿宋" w:cs="仿宋" w:hint="eastAsia"/>
          <w:sz w:val="32"/>
          <w:szCs w:val="32"/>
        </w:rPr>
        <w:t>阳性的转移性胃腺癌或胃食管交界腺癌患者，对于顺铂和氟尿嘧啶类进展，而未使用过曲妥珠单抗的</w:t>
      </w:r>
      <w:r>
        <w:rPr>
          <w:rFonts w:ascii="仿宋" w:eastAsia="仿宋" w:hAnsi="仿宋" w:cs="仿宋"/>
          <w:sz w:val="32"/>
          <w:szCs w:val="32"/>
        </w:rPr>
        <w:t>HER2</w:t>
      </w:r>
      <w:r>
        <w:rPr>
          <w:rFonts w:ascii="仿宋" w:eastAsia="仿宋" w:hAnsi="仿宋" w:cs="仿宋" w:hint="eastAsia"/>
          <w:sz w:val="32"/>
          <w:szCs w:val="32"/>
        </w:rPr>
        <w:t>阳性的转移性胃癌患者，可以考虑曲妥珠单抗联合其他有效的化疗药物治疗；曲妥珠单抗只能用于</w:t>
      </w:r>
      <w:r>
        <w:rPr>
          <w:rFonts w:ascii="仿宋" w:eastAsia="仿宋" w:hAnsi="仿宋" w:cs="仿宋"/>
          <w:sz w:val="32"/>
          <w:szCs w:val="32"/>
        </w:rPr>
        <w:t>HER2</w:t>
      </w:r>
      <w:r>
        <w:rPr>
          <w:rFonts w:ascii="仿宋" w:eastAsia="仿宋" w:hAnsi="仿宋" w:cs="仿宋" w:hint="eastAsia"/>
          <w:sz w:val="32"/>
          <w:szCs w:val="32"/>
        </w:rPr>
        <w:t>阳性的转移性胃癌患者，</w:t>
      </w:r>
      <w:r>
        <w:rPr>
          <w:rFonts w:ascii="仿宋" w:eastAsia="仿宋" w:hAnsi="仿宋" w:cs="仿宋"/>
          <w:sz w:val="32"/>
          <w:szCs w:val="32"/>
        </w:rPr>
        <w:t>HER2</w:t>
      </w:r>
      <w:r>
        <w:rPr>
          <w:rFonts w:ascii="仿宋" w:eastAsia="仿宋" w:hAnsi="仿宋" w:cs="仿宋" w:hint="eastAsia"/>
          <w:sz w:val="32"/>
          <w:szCs w:val="32"/>
        </w:rPr>
        <w:t>阳性的定义为使用已验证的检测方法得到的</w:t>
      </w:r>
      <w:r>
        <w:rPr>
          <w:rFonts w:ascii="仿宋" w:eastAsia="仿宋" w:hAnsi="仿宋" w:cs="仿宋"/>
          <w:sz w:val="32"/>
          <w:szCs w:val="32"/>
        </w:rPr>
        <w:t>IHC3+</w:t>
      </w:r>
      <w:r>
        <w:rPr>
          <w:rFonts w:ascii="仿宋" w:eastAsia="仿宋" w:hAnsi="仿宋" w:cs="仿宋" w:hint="eastAsia"/>
          <w:sz w:val="32"/>
          <w:szCs w:val="32"/>
        </w:rPr>
        <w:t>或</w:t>
      </w:r>
      <w:r>
        <w:rPr>
          <w:rFonts w:ascii="仿宋" w:eastAsia="仿宋" w:hAnsi="仿宋" w:cs="仿宋"/>
          <w:sz w:val="32"/>
          <w:szCs w:val="32"/>
        </w:rPr>
        <w:t>IHC2+/FISH+</w:t>
      </w:r>
      <w:r>
        <w:rPr>
          <w:rFonts w:ascii="仿宋" w:eastAsia="仿宋" w:hAnsi="仿宋" w:cs="仿宋" w:hint="eastAsia"/>
          <w:sz w:val="32"/>
          <w:szCs w:val="32"/>
        </w:rPr>
        <w:t>结果。</w:t>
      </w:r>
    </w:p>
    <w:p w:rsidR="00B23A40" w:rsidRDefault="00DD1A0D">
      <w:pPr>
        <w:spacing w:line="360" w:lineRule="auto"/>
        <w:ind w:firstLineChars="200" w:firstLine="643"/>
        <w:jc w:val="left"/>
        <w:rPr>
          <w:rFonts w:ascii="仿宋" w:eastAsia="仿宋" w:hAnsi="仿宋" w:cs="Times New Roman"/>
          <w:b/>
          <w:bCs/>
          <w:sz w:val="32"/>
          <w:szCs w:val="32"/>
        </w:rPr>
      </w:pPr>
      <w:r>
        <w:rPr>
          <w:rFonts w:ascii="仿宋" w:eastAsia="仿宋" w:hAnsi="仿宋" w:cs="仿宋" w:hint="eastAsia"/>
          <w:b/>
          <w:bCs/>
          <w:sz w:val="32"/>
          <w:szCs w:val="32"/>
        </w:rPr>
        <w:t>合理用药要点：</w:t>
      </w:r>
    </w:p>
    <w:p w:rsidR="00B23A40" w:rsidRDefault="00DD1A0D">
      <w:pPr>
        <w:spacing w:line="360" w:lineRule="auto"/>
        <w:ind w:firstLineChars="200" w:firstLine="640"/>
        <w:jc w:val="left"/>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在本品治疗前，应进行</w:t>
      </w:r>
      <w:r>
        <w:rPr>
          <w:rFonts w:ascii="仿宋" w:eastAsia="仿宋" w:hAnsi="仿宋" w:cs="仿宋"/>
          <w:sz w:val="32"/>
          <w:szCs w:val="32"/>
        </w:rPr>
        <w:t>HER2</w:t>
      </w:r>
      <w:r>
        <w:rPr>
          <w:rFonts w:ascii="仿宋" w:eastAsia="仿宋" w:hAnsi="仿宋" w:cs="仿宋" w:hint="eastAsia"/>
          <w:sz w:val="32"/>
          <w:szCs w:val="32"/>
        </w:rPr>
        <w:t>检测，相关检测应使用国家药品监督管理局批准的检测方法。</w:t>
      </w:r>
    </w:p>
    <w:p w:rsidR="00B23A40" w:rsidRDefault="00DD1A0D">
      <w:pPr>
        <w:spacing w:line="360" w:lineRule="auto"/>
        <w:ind w:firstLineChars="200" w:firstLine="640"/>
        <w:jc w:val="left"/>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曲妥珠单抗开始治疗前应进行左室射血分数（</w:t>
      </w:r>
      <w:r>
        <w:rPr>
          <w:rFonts w:ascii="仿宋" w:eastAsia="仿宋" w:hAnsi="仿宋" w:cs="仿宋"/>
          <w:sz w:val="32"/>
          <w:szCs w:val="32"/>
        </w:rPr>
        <w:t>LVEF</w:t>
      </w:r>
      <w:r>
        <w:rPr>
          <w:rFonts w:ascii="仿宋" w:eastAsia="仿宋" w:hAnsi="仿宋" w:cs="仿宋" w:hint="eastAsia"/>
          <w:sz w:val="32"/>
          <w:szCs w:val="32"/>
        </w:rPr>
        <w:t>）的检测，治疗期间须经常密切监测</w:t>
      </w:r>
      <w:r>
        <w:rPr>
          <w:rFonts w:ascii="仿宋" w:eastAsia="仿宋" w:hAnsi="仿宋" w:cs="仿宋"/>
          <w:sz w:val="32"/>
          <w:szCs w:val="32"/>
        </w:rPr>
        <w:t>LVEF</w:t>
      </w:r>
      <w:r>
        <w:rPr>
          <w:rFonts w:ascii="仿宋" w:eastAsia="仿宋" w:hAnsi="仿宋" w:cs="仿宋" w:hint="eastAsia"/>
          <w:sz w:val="32"/>
          <w:szCs w:val="32"/>
        </w:rPr>
        <w:t>。LVEF较治疗前绝对数值下降≥16%，或LVEF 低于该检测中心正常范围并且LVEF 较治疗前绝对数值下降≥10%，需应停止曲妥珠单抗治疗至少4周，并每4周检测1次LVEF。4~8周内LVEF回升至正常范围或LVEF较治疗前绝对数值下降≤15%，可恢复使用曲妥珠单抗。LVEF 持续下降（&gt;8 周），或者3 次以上因心肌病而停止曲妥珠单抗治疗，应永久停止使用曲妥珠单抗。</w:t>
      </w:r>
    </w:p>
    <w:p w:rsidR="00B23A40" w:rsidRDefault="00DD1A0D">
      <w:pPr>
        <w:spacing w:line="360" w:lineRule="auto"/>
        <w:ind w:firstLineChars="200" w:firstLine="640"/>
        <w:jc w:val="left"/>
        <w:rPr>
          <w:rFonts w:ascii="仿宋" w:eastAsia="仿宋" w:hAnsi="仿宋" w:cs="Times New Roman"/>
          <w:sz w:val="32"/>
          <w:szCs w:val="32"/>
          <w:lang w:val="en-GB"/>
        </w:rPr>
      </w:pPr>
      <w:r>
        <w:rPr>
          <w:rFonts w:ascii="仿宋" w:eastAsia="仿宋" w:hAnsi="仿宋" w:cs="仿宋"/>
          <w:sz w:val="32"/>
          <w:szCs w:val="32"/>
        </w:rPr>
        <w:t>3.</w:t>
      </w:r>
      <w:r>
        <w:rPr>
          <w:rFonts w:ascii="仿宋" w:eastAsia="仿宋" w:hAnsi="仿宋" w:cs="仿宋" w:hint="eastAsia"/>
          <w:sz w:val="32"/>
          <w:szCs w:val="32"/>
        </w:rPr>
        <w:t>胃癌治疗过程中患者出现充血性心力衰竭、左心室功能明显下降、严重的输注反应和肺部反应时，要中断或停止曲妥珠单抗的治疗。</w:t>
      </w:r>
    </w:p>
    <w:p w:rsidR="00B23A40" w:rsidRDefault="00113865">
      <w:pPr>
        <w:widowControl/>
        <w:jc w:val="left"/>
        <w:rPr>
          <w:rFonts w:ascii="黑体" w:eastAsia="黑体" w:hAnsi="黑体" w:cs="Times New Roman"/>
          <w:sz w:val="32"/>
          <w:szCs w:val="32"/>
        </w:rPr>
      </w:pPr>
      <w:r>
        <w:rPr>
          <w:rFonts w:ascii="黑体" w:eastAsia="黑体" w:hAnsi="黑体" w:cs="黑体" w:hint="eastAsia"/>
          <w:sz w:val="32"/>
          <w:szCs w:val="32"/>
        </w:rPr>
        <w:lastRenderedPageBreak/>
        <w:t xml:space="preserve">    </w:t>
      </w:r>
      <w:r w:rsidR="00DD1A0D">
        <w:rPr>
          <w:rFonts w:ascii="黑体" w:eastAsia="黑体" w:hAnsi="黑体" w:cs="黑体" w:hint="eastAsia"/>
          <w:sz w:val="32"/>
          <w:szCs w:val="32"/>
        </w:rPr>
        <w:t>五、阿帕替尼 a</w:t>
      </w:r>
      <w:r w:rsidR="00DD1A0D">
        <w:rPr>
          <w:rFonts w:ascii="黑体" w:eastAsia="黑体" w:hAnsi="黑体" w:cs="黑体"/>
          <w:sz w:val="32"/>
          <w:szCs w:val="32"/>
        </w:rPr>
        <w:t>patinib</w:t>
      </w:r>
    </w:p>
    <w:p w:rsidR="00B23A40" w:rsidRDefault="00DD1A0D">
      <w:pPr>
        <w:spacing w:line="360" w:lineRule="auto"/>
        <w:ind w:firstLineChars="200" w:firstLine="643"/>
        <w:jc w:val="left"/>
        <w:rPr>
          <w:rFonts w:ascii="仿宋" w:eastAsia="仿宋" w:hAnsi="仿宋" w:cs="Times New Roman"/>
          <w:sz w:val="32"/>
          <w:szCs w:val="32"/>
        </w:rPr>
      </w:pPr>
      <w:r>
        <w:rPr>
          <w:rFonts w:ascii="仿宋" w:eastAsia="仿宋" w:hAnsi="仿宋" w:cs="仿宋" w:hint="eastAsia"/>
          <w:b/>
          <w:bCs/>
          <w:sz w:val="32"/>
          <w:szCs w:val="32"/>
        </w:rPr>
        <w:t>通用名：</w:t>
      </w:r>
    </w:p>
    <w:p w:rsidR="00B23A40" w:rsidRDefault="00DD1A0D">
      <w:pPr>
        <w:spacing w:line="360" w:lineRule="auto"/>
        <w:ind w:firstLineChars="200" w:firstLine="643"/>
        <w:jc w:val="left"/>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片剂：</w:t>
      </w:r>
      <w:r>
        <w:rPr>
          <w:rFonts w:ascii="仿宋" w:eastAsia="仿宋" w:hAnsi="仿宋" w:cs="仿宋"/>
          <w:sz w:val="32"/>
          <w:szCs w:val="32"/>
        </w:rPr>
        <w:t>0.25g</w:t>
      </w:r>
      <w:r>
        <w:rPr>
          <w:rFonts w:ascii="仿宋" w:eastAsia="仿宋" w:hAnsi="仿宋" w:cs="仿宋" w:hint="eastAsia"/>
          <w:sz w:val="32"/>
          <w:szCs w:val="32"/>
        </w:rPr>
        <w:t>、</w:t>
      </w:r>
      <w:r>
        <w:rPr>
          <w:rFonts w:ascii="仿宋" w:eastAsia="仿宋" w:hAnsi="仿宋" w:cs="仿宋"/>
          <w:sz w:val="32"/>
          <w:szCs w:val="32"/>
        </w:rPr>
        <w:t>0.375g</w:t>
      </w:r>
      <w:r>
        <w:rPr>
          <w:rFonts w:ascii="仿宋" w:eastAsia="仿宋" w:hAnsi="仿宋" w:cs="仿宋" w:hint="eastAsia"/>
          <w:sz w:val="32"/>
          <w:szCs w:val="32"/>
        </w:rPr>
        <w:t>、</w:t>
      </w:r>
      <w:r>
        <w:rPr>
          <w:rFonts w:ascii="仿宋" w:eastAsia="仿宋" w:hAnsi="仿宋" w:cs="仿宋"/>
          <w:sz w:val="32"/>
          <w:szCs w:val="32"/>
        </w:rPr>
        <w:t xml:space="preserve">0.425g </w:t>
      </w:r>
    </w:p>
    <w:p w:rsidR="00B23A40" w:rsidRDefault="00DD1A0D">
      <w:pPr>
        <w:spacing w:line="360" w:lineRule="auto"/>
        <w:ind w:firstLineChars="200" w:firstLine="643"/>
        <w:jc w:val="left"/>
        <w:rPr>
          <w:rFonts w:ascii="仿宋" w:eastAsia="仿宋" w:hAnsi="仿宋" w:cs="Times New Roman"/>
          <w:sz w:val="32"/>
          <w:szCs w:val="32"/>
        </w:rPr>
      </w:pPr>
      <w:r>
        <w:rPr>
          <w:rFonts w:ascii="仿宋" w:eastAsia="仿宋" w:hAnsi="仿宋" w:cs="仿宋" w:hint="eastAsia"/>
          <w:b/>
          <w:bCs/>
          <w:sz w:val="32"/>
          <w:szCs w:val="32"/>
        </w:rPr>
        <w:t>适应证：</w:t>
      </w:r>
      <w:r>
        <w:rPr>
          <w:rFonts w:ascii="仿宋" w:eastAsia="仿宋" w:hAnsi="仿宋" w:cs="仿宋" w:hint="eastAsia"/>
          <w:sz w:val="32"/>
          <w:szCs w:val="32"/>
        </w:rPr>
        <w:t>既往至少接受过</w:t>
      </w:r>
      <w:r>
        <w:rPr>
          <w:rFonts w:ascii="仿宋" w:eastAsia="仿宋" w:hAnsi="仿宋" w:cs="仿宋"/>
          <w:sz w:val="32"/>
          <w:szCs w:val="32"/>
        </w:rPr>
        <w:t>2</w:t>
      </w:r>
      <w:r>
        <w:rPr>
          <w:rFonts w:ascii="仿宋" w:eastAsia="仿宋" w:hAnsi="仿宋" w:cs="仿宋" w:hint="eastAsia"/>
          <w:sz w:val="32"/>
          <w:szCs w:val="32"/>
        </w:rPr>
        <w:t>种系统化疗后进展或复发的晚期胃腺癌或胃食管结合部腺癌患者，且患者接受阿帕替尼治疗时一般状况良好。</w:t>
      </w:r>
    </w:p>
    <w:p w:rsidR="00B23A40" w:rsidRDefault="00DD1A0D">
      <w:pPr>
        <w:spacing w:line="360" w:lineRule="auto"/>
        <w:ind w:firstLineChars="200" w:firstLine="643"/>
        <w:jc w:val="left"/>
        <w:rPr>
          <w:rFonts w:ascii="仿宋" w:eastAsia="仿宋" w:hAnsi="仿宋" w:cs="Times New Roman"/>
          <w:b/>
          <w:bCs/>
          <w:sz w:val="32"/>
          <w:szCs w:val="32"/>
        </w:rPr>
      </w:pPr>
      <w:r>
        <w:rPr>
          <w:rFonts w:ascii="仿宋" w:eastAsia="仿宋" w:hAnsi="仿宋" w:cs="仿宋" w:hint="eastAsia"/>
          <w:b/>
          <w:bCs/>
          <w:sz w:val="32"/>
          <w:szCs w:val="32"/>
        </w:rPr>
        <w:t>合理用药要点：</w:t>
      </w:r>
    </w:p>
    <w:p w:rsidR="00B23A40" w:rsidRDefault="00DD1A0D">
      <w:pPr>
        <w:spacing w:line="360" w:lineRule="auto"/>
        <w:ind w:firstLineChars="200" w:firstLine="640"/>
        <w:jc w:val="left"/>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药品说明书推荐剂量为</w:t>
      </w:r>
      <w:r>
        <w:rPr>
          <w:rFonts w:ascii="仿宋" w:eastAsia="仿宋" w:hAnsi="仿宋" w:cs="仿宋"/>
          <w:sz w:val="32"/>
          <w:szCs w:val="32"/>
        </w:rPr>
        <w:t>850mg</w:t>
      </w:r>
      <w:r>
        <w:rPr>
          <w:rFonts w:ascii="仿宋" w:eastAsia="仿宋" w:hAnsi="仿宋" w:cs="仿宋" w:hint="eastAsia"/>
          <w:sz w:val="32"/>
          <w:szCs w:val="32"/>
        </w:rPr>
        <w:t>，每日一次。对于体力状态评分</w:t>
      </w:r>
      <w:r>
        <w:rPr>
          <w:rFonts w:ascii="仿宋" w:eastAsia="仿宋" w:hAnsi="仿宋" w:cs="仿宋"/>
          <w:sz w:val="32"/>
          <w:szCs w:val="32"/>
        </w:rPr>
        <w:t>ECOG</w:t>
      </w: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、四线化疗以后、胃部原发癌灶没有切除、骨髓功能储备差、年老体弱或瘦小的女性患者，为了确保患者的安全性和提高依从性，可以适当降低起始剂量，先从250</w:t>
      </w:r>
      <w:r>
        <w:rPr>
          <w:rFonts w:ascii="仿宋" w:eastAsia="仿宋" w:hAnsi="仿宋" w:cs="仿宋"/>
          <w:sz w:val="32"/>
          <w:szCs w:val="32"/>
        </w:rPr>
        <w:t>mg</w:t>
      </w:r>
      <w:r>
        <w:rPr>
          <w:rFonts w:ascii="仿宋" w:eastAsia="仿宋" w:hAnsi="仿宋" w:cs="仿宋" w:hint="eastAsia"/>
          <w:sz w:val="32"/>
          <w:szCs w:val="32"/>
        </w:rPr>
        <w:t>开始服药，服用</w:t>
      </w:r>
      <w:r>
        <w:rPr>
          <w:rFonts w:ascii="仿宋" w:eastAsia="仿宋" w:hAnsi="仿宋" w:cs="仿宋"/>
          <w:sz w:val="32"/>
          <w:szCs w:val="32"/>
        </w:rPr>
        <w:t>1</w:t>
      </w: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周后再酌情增加剂量。</w:t>
      </w:r>
    </w:p>
    <w:p w:rsidR="00B23A40" w:rsidRDefault="00DD1A0D">
      <w:pPr>
        <w:spacing w:line="360" w:lineRule="auto"/>
        <w:ind w:firstLineChars="200" w:firstLine="640"/>
        <w:jc w:val="left"/>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使用过程中出现</w:t>
      </w:r>
      <w:r>
        <w:rPr>
          <w:rFonts w:ascii="仿宋" w:eastAsia="仿宋" w:hAnsi="仿宋" w:cs="仿宋"/>
          <w:sz w:val="32"/>
          <w:szCs w:val="32"/>
        </w:rPr>
        <w:t>3</w:t>
      </w: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级不良反应时，建议暂停用药，</w:t>
      </w:r>
      <w:r>
        <w:rPr>
          <w:rFonts w:ascii="仿宋" w:eastAsia="仿宋" w:hAnsi="仿宋" w:cs="仿宋" w:hint="eastAsia"/>
          <w:w w:val="98"/>
          <w:sz w:val="32"/>
          <w:szCs w:val="32"/>
        </w:rPr>
        <w:t>并对症处理，待症状缓解恢复到</w:t>
      </w:r>
      <w:r>
        <w:rPr>
          <w:rFonts w:ascii="仿宋" w:eastAsia="仿宋" w:hAnsi="仿宋" w:cs="仿宋"/>
          <w:w w:val="98"/>
          <w:sz w:val="32"/>
          <w:szCs w:val="32"/>
        </w:rPr>
        <w:t>1</w:t>
      </w:r>
      <w:r>
        <w:rPr>
          <w:rFonts w:ascii="仿宋" w:eastAsia="仿宋" w:hAnsi="仿宋" w:cs="仿宋" w:hint="eastAsia"/>
          <w:w w:val="98"/>
          <w:sz w:val="32"/>
          <w:szCs w:val="32"/>
        </w:rPr>
        <w:t>级以内，随后降低剂量服用。</w:t>
      </w:r>
    </w:p>
    <w:p w:rsidR="00B23A40" w:rsidRDefault="00DD1A0D">
      <w:pPr>
        <w:spacing w:line="360" w:lineRule="auto"/>
        <w:ind w:firstLineChars="200" w:firstLine="640"/>
        <w:jc w:val="left"/>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用药期间必须特别关注血压升高、蛋白尿、手足皮肤反应、出血、心脏毒性、肝脏毒性等不良反应。</w:t>
      </w:r>
    </w:p>
    <w:p w:rsidR="00B23A40" w:rsidRDefault="00DD1A0D">
      <w:pPr>
        <w:spacing w:line="360" w:lineRule="auto"/>
        <w:ind w:firstLineChars="200" w:firstLine="640"/>
        <w:jc w:val="left"/>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慎与延长</w:t>
      </w:r>
      <w:r>
        <w:rPr>
          <w:rFonts w:ascii="仿宋" w:eastAsia="仿宋" w:hAnsi="仿宋" w:cs="仿宋"/>
          <w:sz w:val="32"/>
          <w:szCs w:val="32"/>
        </w:rPr>
        <w:t>QT</w:t>
      </w:r>
      <w:r>
        <w:rPr>
          <w:rFonts w:ascii="仿宋" w:eastAsia="仿宋" w:hAnsi="仿宋" w:cs="仿宋" w:hint="eastAsia"/>
          <w:sz w:val="32"/>
          <w:szCs w:val="32"/>
        </w:rPr>
        <w:t>间期的药物同时使用。</w:t>
      </w:r>
    </w:p>
    <w:p w:rsidR="00B23A40" w:rsidRDefault="00DD1A0D">
      <w:p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 xml:space="preserve">六、伊马替尼 </w:t>
      </w:r>
      <w:r>
        <w:rPr>
          <w:rFonts w:ascii="黑体" w:eastAsia="黑体" w:hAnsi="黑体" w:cs="黑体"/>
          <w:sz w:val="32"/>
          <w:szCs w:val="32"/>
        </w:rPr>
        <w:t>imatinib</w:t>
      </w:r>
    </w:p>
    <w:p w:rsidR="00B23A40" w:rsidRDefault="00DD1A0D">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片剂：</w:t>
      </w:r>
      <w:r>
        <w:rPr>
          <w:rFonts w:ascii="仿宋" w:eastAsia="仿宋" w:hAnsi="仿宋" w:cs="仿宋"/>
          <w:sz w:val="32"/>
          <w:szCs w:val="32"/>
        </w:rPr>
        <w:t xml:space="preserve">0.1g </w:t>
      </w:r>
    </w:p>
    <w:p w:rsidR="00B23A40" w:rsidRDefault="00DD1A0D">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适应证：</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用于治疗不能切除和</w:t>
      </w:r>
      <w:r>
        <w:rPr>
          <w:rFonts w:ascii="仿宋" w:eastAsia="仿宋" w:hAnsi="仿宋" w:cs="仿宋"/>
          <w:sz w:val="32"/>
          <w:szCs w:val="32"/>
        </w:rPr>
        <w:t>/</w:t>
      </w:r>
      <w:r>
        <w:rPr>
          <w:rFonts w:ascii="仿宋" w:eastAsia="仿宋" w:hAnsi="仿宋" w:cs="仿宋" w:hint="eastAsia"/>
          <w:sz w:val="32"/>
          <w:szCs w:val="32"/>
        </w:rPr>
        <w:t>或发生转移的胃肠间质瘤成人患者。</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lastRenderedPageBreak/>
        <w:t>2.</w:t>
      </w:r>
      <w:r>
        <w:rPr>
          <w:rFonts w:ascii="仿宋" w:eastAsia="仿宋" w:hAnsi="仿宋" w:cs="仿宋" w:hint="eastAsia"/>
          <w:sz w:val="32"/>
          <w:szCs w:val="32"/>
        </w:rPr>
        <w:t>用于</w:t>
      </w:r>
      <w:r>
        <w:rPr>
          <w:rFonts w:ascii="仿宋" w:eastAsia="仿宋" w:hAnsi="仿宋" w:cs="仿宋"/>
          <w:sz w:val="32"/>
          <w:szCs w:val="32"/>
        </w:rPr>
        <w:t>Kit</w:t>
      </w:r>
      <w:r>
        <w:rPr>
          <w:rFonts w:ascii="仿宋" w:eastAsia="仿宋" w:hAnsi="仿宋" w:cs="仿宋" w:hint="eastAsia"/>
          <w:sz w:val="32"/>
          <w:szCs w:val="32"/>
        </w:rPr>
        <w:t>（</w:t>
      </w:r>
      <w:r>
        <w:rPr>
          <w:rFonts w:ascii="仿宋" w:eastAsia="仿宋" w:hAnsi="仿宋" w:cs="仿宋"/>
          <w:sz w:val="32"/>
          <w:szCs w:val="32"/>
        </w:rPr>
        <w:t>CD117</w:t>
      </w:r>
      <w:r>
        <w:rPr>
          <w:rFonts w:ascii="仿宋" w:eastAsia="仿宋" w:hAnsi="仿宋" w:cs="仿宋" w:hint="eastAsia"/>
          <w:sz w:val="32"/>
          <w:szCs w:val="32"/>
        </w:rPr>
        <w:t>）阳性胃肠间质瘤手术切除后具有明显复发风险的成人患者的辅助治疗。</w:t>
      </w:r>
    </w:p>
    <w:p w:rsidR="00B23A40" w:rsidRDefault="00DD1A0D">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用药期间必须注意常见的不良反应，例如：体液潴留、恶心、腹泻、皮疹、中性粒细胞减少、血小板减少、贫血、疼痛性肌痉挛以及肝功能损伤。</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密切关注肝功能</w:t>
      </w:r>
      <w:r>
        <w:rPr>
          <w:rFonts w:ascii="仿宋" w:eastAsia="仿宋" w:hAnsi="仿宋" w:cs="仿宋" w:hint="eastAsia"/>
          <w:w w:val="98"/>
          <w:sz w:val="32"/>
          <w:szCs w:val="32"/>
        </w:rPr>
        <w:t>。</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治疗后若未能获得满意疗效，如果没有严重药物不良反应，剂量可增加到每天</w:t>
      </w:r>
      <w:r>
        <w:rPr>
          <w:rFonts w:ascii="仿宋" w:eastAsia="仿宋" w:hAnsi="仿宋" w:cs="仿宋"/>
          <w:sz w:val="32"/>
          <w:szCs w:val="32"/>
        </w:rPr>
        <w:t>0.6</w:t>
      </w:r>
      <w:r>
        <w:rPr>
          <w:rFonts w:ascii="仿宋" w:eastAsia="仿宋" w:hAnsi="仿宋" w:cs="仿宋" w:hint="eastAsia"/>
          <w:sz w:val="32"/>
          <w:szCs w:val="32"/>
        </w:rPr>
        <w:t>～</w:t>
      </w:r>
      <w:r>
        <w:rPr>
          <w:rFonts w:ascii="仿宋" w:eastAsia="仿宋" w:hAnsi="仿宋" w:cs="仿宋"/>
          <w:sz w:val="32"/>
          <w:szCs w:val="32"/>
        </w:rPr>
        <w:t>0.8g</w:t>
      </w:r>
      <w:r>
        <w:rPr>
          <w:rFonts w:ascii="仿宋" w:eastAsia="仿宋" w:hAnsi="仿宋" w:cs="仿宋" w:hint="eastAsia"/>
          <w:sz w:val="32"/>
          <w:szCs w:val="32"/>
        </w:rPr>
        <w:t>；若患者从本药持续获益，可持续接受本药治疗。</w:t>
      </w:r>
    </w:p>
    <w:p w:rsidR="00B23A40" w:rsidRDefault="00DD1A0D">
      <w:pPr>
        <w:spacing w:line="360" w:lineRule="auto"/>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对于潜在可切除的胃肠间质瘤患者，伊马替尼新辅助治疗也可令患者获益。</w:t>
      </w:r>
    </w:p>
    <w:p w:rsidR="00B23A40" w:rsidRDefault="00DD1A0D">
      <w:pPr>
        <w:spacing w:line="360" w:lineRule="auto"/>
        <w:ind w:firstLineChars="200" w:firstLine="640"/>
        <w:rPr>
          <w:rFonts w:ascii="仿宋" w:eastAsia="仿宋" w:hAnsi="仿宋" w:cs="仿宋"/>
          <w:kern w:val="0"/>
          <w:sz w:val="32"/>
          <w:szCs w:val="32"/>
        </w:rPr>
      </w:pPr>
      <w:r>
        <w:rPr>
          <w:rFonts w:ascii="黑体" w:eastAsia="黑体" w:hAnsi="黑体" w:cs="黑体" w:hint="eastAsia"/>
          <w:sz w:val="32"/>
          <w:szCs w:val="32"/>
        </w:rPr>
        <w:t xml:space="preserve">七、舒尼替尼 </w:t>
      </w:r>
      <w:r>
        <w:rPr>
          <w:rFonts w:ascii="黑体" w:eastAsia="黑体" w:hAnsi="黑体" w:cs="黑体"/>
          <w:sz w:val="32"/>
          <w:szCs w:val="32"/>
        </w:rPr>
        <w:t>sunitinib</w:t>
      </w:r>
    </w:p>
    <w:p w:rsidR="00B23A40" w:rsidRDefault="00DD1A0D">
      <w:pPr>
        <w:spacing w:line="360" w:lineRule="auto"/>
        <w:ind w:firstLineChars="200" w:firstLine="643"/>
        <w:rPr>
          <w:rFonts w:ascii="仿宋" w:eastAsia="仿宋" w:hAnsi="仿宋" w:cs="仿宋"/>
          <w:sz w:val="32"/>
          <w:szCs w:val="32"/>
        </w:rPr>
      </w:pPr>
      <w:r>
        <w:rPr>
          <w:rFonts w:ascii="仿宋" w:eastAsia="仿宋" w:hAnsi="仿宋" w:cs="仿宋" w:hint="eastAsia"/>
          <w:b/>
          <w:bCs/>
          <w:kern w:val="0"/>
          <w:sz w:val="32"/>
          <w:szCs w:val="32"/>
        </w:rPr>
        <w:t>制剂与规格：</w:t>
      </w:r>
      <w:r>
        <w:rPr>
          <w:rFonts w:ascii="仿宋" w:eastAsia="仿宋" w:hAnsi="仿宋" w:cs="仿宋" w:hint="eastAsia"/>
          <w:sz w:val="32"/>
          <w:szCs w:val="32"/>
        </w:rPr>
        <w:t>胶囊：</w:t>
      </w:r>
      <w:r>
        <w:rPr>
          <w:rFonts w:ascii="仿宋" w:eastAsia="仿宋" w:hAnsi="仿宋" w:cs="仿宋"/>
          <w:sz w:val="32"/>
          <w:szCs w:val="32"/>
        </w:rPr>
        <w:t>12.5mg</w:t>
      </w:r>
      <w:r>
        <w:rPr>
          <w:rFonts w:ascii="仿宋" w:eastAsia="仿宋" w:hAnsi="仿宋" w:cs="仿宋" w:hint="eastAsia"/>
          <w:sz w:val="32"/>
          <w:szCs w:val="32"/>
        </w:rPr>
        <w:t>、</w:t>
      </w:r>
      <w:r>
        <w:rPr>
          <w:rFonts w:ascii="仿宋" w:eastAsia="仿宋" w:hAnsi="仿宋" w:cs="仿宋"/>
          <w:sz w:val="32"/>
          <w:szCs w:val="32"/>
        </w:rPr>
        <w:t>25mg</w:t>
      </w:r>
      <w:r>
        <w:rPr>
          <w:rFonts w:ascii="仿宋" w:eastAsia="仿宋" w:hAnsi="仿宋" w:cs="仿宋" w:hint="eastAsia"/>
          <w:sz w:val="32"/>
          <w:szCs w:val="32"/>
        </w:rPr>
        <w:t>、</w:t>
      </w:r>
      <w:r>
        <w:rPr>
          <w:rFonts w:ascii="仿宋" w:eastAsia="仿宋" w:hAnsi="仿宋" w:cs="仿宋"/>
          <w:sz w:val="32"/>
          <w:szCs w:val="32"/>
        </w:rPr>
        <w:t>37.5mg</w:t>
      </w:r>
      <w:r>
        <w:rPr>
          <w:rFonts w:ascii="仿宋" w:eastAsia="仿宋" w:hAnsi="仿宋" w:cs="仿宋" w:hint="eastAsia"/>
          <w:sz w:val="32"/>
          <w:szCs w:val="32"/>
        </w:rPr>
        <w:t>、</w:t>
      </w:r>
      <w:r>
        <w:rPr>
          <w:rFonts w:ascii="仿宋" w:eastAsia="仿宋" w:hAnsi="仿宋" w:cs="仿宋"/>
          <w:sz w:val="32"/>
          <w:szCs w:val="32"/>
        </w:rPr>
        <w:t xml:space="preserve">50mg </w:t>
      </w:r>
    </w:p>
    <w:p w:rsidR="00B23A40" w:rsidRDefault="00DD1A0D">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适应证：</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伊马替尼治疗失败或不能耐受的胃肠间质瘤患者。</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不可切除的、转移性高分化进展期胰腺神经内分泌瘤成年患者。</w:t>
      </w:r>
    </w:p>
    <w:p w:rsidR="00B23A40" w:rsidRDefault="00DD1A0D">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B23A40" w:rsidRDefault="00DD1A0D">
      <w:pPr>
        <w:spacing w:line="360" w:lineRule="auto"/>
        <w:ind w:firstLineChars="200" w:firstLine="640"/>
        <w:rPr>
          <w:rFonts w:ascii="仿宋" w:eastAsia="仿宋" w:hAnsi="仿宋" w:cs="Times New Roman"/>
          <w:b/>
          <w:bCs/>
          <w:sz w:val="32"/>
          <w:szCs w:val="32"/>
        </w:rPr>
      </w:pPr>
      <w:r>
        <w:rPr>
          <w:rFonts w:ascii="仿宋" w:eastAsia="仿宋" w:hAnsi="仿宋" w:cs="仿宋" w:hint="eastAsia"/>
          <w:bCs/>
          <w:sz w:val="32"/>
          <w:szCs w:val="32"/>
        </w:rPr>
        <w:t>1.</w:t>
      </w:r>
      <w:r>
        <w:rPr>
          <w:rFonts w:ascii="仿宋" w:eastAsia="仿宋" w:hAnsi="仿宋" w:cs="仿宋" w:hint="eastAsia"/>
          <w:sz w:val="32"/>
          <w:szCs w:val="32"/>
        </w:rPr>
        <w:t>每日推荐最高剂量</w:t>
      </w:r>
      <w:r>
        <w:rPr>
          <w:rFonts w:ascii="仿宋" w:eastAsia="仿宋" w:hAnsi="仿宋" w:cs="仿宋"/>
          <w:sz w:val="32"/>
          <w:szCs w:val="32"/>
        </w:rPr>
        <w:t>50mg</w:t>
      </w:r>
      <w:r>
        <w:rPr>
          <w:rFonts w:ascii="仿宋" w:eastAsia="仿宋" w:hAnsi="仿宋" w:cs="仿宋" w:hint="eastAsia"/>
          <w:sz w:val="32"/>
          <w:szCs w:val="32"/>
        </w:rPr>
        <w:t>，服药</w:t>
      </w:r>
      <w:r>
        <w:rPr>
          <w:rFonts w:ascii="仿宋" w:eastAsia="仿宋" w:hAnsi="仿宋" w:cs="仿宋"/>
          <w:sz w:val="32"/>
          <w:szCs w:val="32"/>
        </w:rPr>
        <w:t>4</w:t>
      </w:r>
      <w:r>
        <w:rPr>
          <w:rFonts w:ascii="仿宋" w:eastAsia="仿宋" w:hAnsi="仿宋" w:cs="仿宋" w:hint="eastAsia"/>
          <w:sz w:val="32"/>
          <w:szCs w:val="32"/>
        </w:rPr>
        <w:t>周、停药</w:t>
      </w:r>
      <w:r>
        <w:rPr>
          <w:rFonts w:ascii="仿宋" w:eastAsia="仿宋" w:hAnsi="仿宋" w:cs="仿宋"/>
          <w:sz w:val="32"/>
          <w:szCs w:val="32"/>
        </w:rPr>
        <w:t>2</w:t>
      </w:r>
      <w:r>
        <w:rPr>
          <w:rFonts w:ascii="仿宋" w:eastAsia="仿宋" w:hAnsi="仿宋" w:cs="仿宋" w:hint="eastAsia"/>
          <w:sz w:val="32"/>
          <w:szCs w:val="32"/>
        </w:rPr>
        <w:t>周，与进食无相关性；若必须与</w:t>
      </w:r>
      <w:r>
        <w:rPr>
          <w:rFonts w:ascii="仿宋" w:eastAsia="仿宋" w:hAnsi="仿宋" w:cs="仿宋"/>
          <w:sz w:val="32"/>
          <w:szCs w:val="32"/>
        </w:rPr>
        <w:t>CYP3A4</w:t>
      </w:r>
      <w:r>
        <w:rPr>
          <w:rFonts w:ascii="仿宋" w:eastAsia="仿宋" w:hAnsi="仿宋" w:cs="仿宋" w:hint="eastAsia"/>
          <w:sz w:val="32"/>
          <w:szCs w:val="32"/>
        </w:rPr>
        <w:t>抑制剂联合使用，剂量可减至</w:t>
      </w:r>
      <w:r>
        <w:rPr>
          <w:rFonts w:ascii="仿宋" w:eastAsia="仿宋" w:hAnsi="仿宋" w:cs="仿宋"/>
          <w:sz w:val="32"/>
          <w:szCs w:val="32"/>
        </w:rPr>
        <w:t>37.5mg</w:t>
      </w:r>
      <w:r>
        <w:rPr>
          <w:rFonts w:ascii="仿宋" w:eastAsia="仿宋" w:hAnsi="仿宋" w:cs="仿宋" w:hint="eastAsia"/>
          <w:sz w:val="32"/>
          <w:szCs w:val="32"/>
        </w:rPr>
        <w:t>；若必须与</w:t>
      </w:r>
      <w:r>
        <w:rPr>
          <w:rFonts w:ascii="仿宋" w:eastAsia="仿宋" w:hAnsi="仿宋" w:cs="仿宋"/>
          <w:sz w:val="32"/>
          <w:szCs w:val="32"/>
        </w:rPr>
        <w:t>CYP3A4</w:t>
      </w:r>
      <w:r>
        <w:rPr>
          <w:rFonts w:ascii="仿宋" w:eastAsia="仿宋" w:hAnsi="仿宋" w:cs="仿宋" w:hint="eastAsia"/>
          <w:sz w:val="32"/>
          <w:szCs w:val="32"/>
        </w:rPr>
        <w:t>诱导剂联合使用，最大剂量不</w:t>
      </w:r>
      <w:r>
        <w:rPr>
          <w:rFonts w:ascii="仿宋" w:eastAsia="仿宋" w:hAnsi="仿宋" w:cs="仿宋" w:hint="eastAsia"/>
          <w:sz w:val="32"/>
          <w:szCs w:val="32"/>
        </w:rPr>
        <w:lastRenderedPageBreak/>
        <w:t>超过</w:t>
      </w:r>
      <w:r>
        <w:rPr>
          <w:rFonts w:ascii="仿宋" w:eastAsia="仿宋" w:hAnsi="仿宋" w:cs="仿宋"/>
          <w:sz w:val="32"/>
          <w:szCs w:val="32"/>
        </w:rPr>
        <w:t>87.5mg</w:t>
      </w:r>
      <w:r>
        <w:rPr>
          <w:rFonts w:ascii="仿宋" w:eastAsia="仿宋" w:hAnsi="仿宋" w:cs="仿宋" w:hint="eastAsia"/>
          <w:sz w:val="32"/>
          <w:szCs w:val="32"/>
        </w:rPr>
        <w:t>。</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用药期间必须注意常见的不良反应，例如：白细胞减少、腹泻、乏力、手足综合征；潜在严重的不良反应为肝毒性、左心室功能障碍、</w:t>
      </w:r>
      <w:r>
        <w:rPr>
          <w:rFonts w:ascii="仿宋" w:eastAsia="仿宋" w:hAnsi="仿宋" w:cs="仿宋"/>
          <w:sz w:val="32"/>
          <w:szCs w:val="32"/>
        </w:rPr>
        <w:t>QT</w:t>
      </w:r>
      <w:r>
        <w:rPr>
          <w:rFonts w:ascii="仿宋" w:eastAsia="仿宋" w:hAnsi="仿宋" w:cs="仿宋" w:hint="eastAsia"/>
          <w:sz w:val="32"/>
          <w:szCs w:val="32"/>
        </w:rPr>
        <w:t>间期延长、出血、高血压、甲状腺功能不全。</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若出现充血性心力衰竭的临床表现，建议停药；无充血性心力衰竭临床证据但射血分数＜</w:t>
      </w:r>
      <w:r>
        <w:rPr>
          <w:rFonts w:ascii="仿宋" w:eastAsia="仿宋" w:hAnsi="仿宋" w:cs="仿宋"/>
          <w:sz w:val="32"/>
          <w:szCs w:val="32"/>
        </w:rPr>
        <w:t>50%</w:t>
      </w:r>
      <w:r>
        <w:rPr>
          <w:rFonts w:ascii="仿宋" w:eastAsia="仿宋" w:hAnsi="仿宋" w:cs="仿宋" w:hint="eastAsia"/>
          <w:sz w:val="32"/>
          <w:szCs w:val="32"/>
        </w:rPr>
        <w:t>以及射血分数低于基线</w:t>
      </w:r>
      <w:r>
        <w:rPr>
          <w:rFonts w:ascii="仿宋" w:eastAsia="仿宋" w:hAnsi="仿宋" w:cs="仿宋"/>
          <w:sz w:val="32"/>
          <w:szCs w:val="32"/>
        </w:rPr>
        <w:t>20%</w:t>
      </w:r>
      <w:r>
        <w:rPr>
          <w:rFonts w:ascii="仿宋" w:eastAsia="仿宋" w:hAnsi="仿宋" w:cs="仿宋" w:hint="eastAsia"/>
          <w:sz w:val="32"/>
          <w:szCs w:val="32"/>
        </w:rPr>
        <w:t>的患者也应停药和</w:t>
      </w:r>
      <w:r>
        <w:rPr>
          <w:rFonts w:ascii="仿宋" w:eastAsia="仿宋" w:hAnsi="仿宋" w:cs="仿宋"/>
          <w:sz w:val="32"/>
          <w:szCs w:val="32"/>
        </w:rPr>
        <w:t>/</w:t>
      </w:r>
      <w:r>
        <w:rPr>
          <w:rFonts w:ascii="仿宋" w:eastAsia="仿宋" w:hAnsi="仿宋" w:cs="仿宋" w:hint="eastAsia"/>
          <w:sz w:val="32"/>
          <w:szCs w:val="32"/>
        </w:rPr>
        <w:t>或减量。</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可延长</w:t>
      </w:r>
      <w:r>
        <w:rPr>
          <w:rFonts w:ascii="仿宋" w:eastAsia="仿宋" w:hAnsi="仿宋" w:cs="仿宋"/>
          <w:sz w:val="32"/>
          <w:szCs w:val="32"/>
        </w:rPr>
        <w:t>QT</w:t>
      </w:r>
      <w:r>
        <w:rPr>
          <w:rFonts w:ascii="仿宋" w:eastAsia="仿宋" w:hAnsi="仿宋" w:cs="仿宋" w:hint="eastAsia"/>
          <w:sz w:val="32"/>
          <w:szCs w:val="32"/>
        </w:rPr>
        <w:t>间期，且呈剂量依赖性。应慎用于已知有</w:t>
      </w:r>
      <w:r>
        <w:rPr>
          <w:rFonts w:ascii="仿宋" w:eastAsia="仿宋" w:hAnsi="仿宋" w:cs="仿宋"/>
          <w:sz w:val="32"/>
          <w:szCs w:val="32"/>
        </w:rPr>
        <w:t>QT</w:t>
      </w:r>
      <w:r>
        <w:rPr>
          <w:rFonts w:ascii="仿宋" w:eastAsia="仿宋" w:hAnsi="仿宋" w:cs="仿宋" w:hint="eastAsia"/>
          <w:sz w:val="32"/>
          <w:szCs w:val="32"/>
        </w:rPr>
        <w:t>间期延长病史的患者、服用抗心律失常药物的患者或有相应基础心脏疾病、心动过缓和电解质紊乱的患者。</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5.</w:t>
      </w:r>
      <w:r>
        <w:rPr>
          <w:rFonts w:ascii="仿宋" w:eastAsia="仿宋" w:hAnsi="仿宋" w:cs="仿宋" w:hint="eastAsia"/>
          <w:sz w:val="32"/>
          <w:szCs w:val="32"/>
        </w:rPr>
        <w:t>使用期间如果发生严重高血压，应暂停使用，直至高血压得到控制。</w:t>
      </w:r>
    </w:p>
    <w:p w:rsidR="00B23A40" w:rsidRDefault="00DD1A0D">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6.本品具有肝毒性，可能导致肝脏衰竭或死亡。已在临床研究中观察到肝脏衰竭的发生（发生率&lt;1%）。在治疗开始前、每个治疗周期、以及临床需要时应监测肝功能（ALT，AST，胆红素）。当出现3级或4级药物相关的肝功能不良反应中断用药，若无法恢复应终止治疗。</w:t>
      </w:r>
    </w:p>
    <w:p w:rsidR="00B23A40" w:rsidRDefault="00DD1A0D">
      <w:p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 xml:space="preserve">八、依维莫司 </w:t>
      </w:r>
      <w:r>
        <w:rPr>
          <w:rFonts w:ascii="黑体" w:eastAsia="黑体" w:hAnsi="黑体" w:cs="黑体"/>
          <w:sz w:val="32"/>
          <w:szCs w:val="32"/>
        </w:rPr>
        <w:t>everolimus</w:t>
      </w:r>
    </w:p>
    <w:p w:rsidR="00B23A40" w:rsidRDefault="00DD1A0D">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片剂：</w:t>
      </w:r>
      <w:r>
        <w:rPr>
          <w:rFonts w:ascii="仿宋" w:eastAsia="仿宋" w:hAnsi="仿宋" w:cs="仿宋"/>
          <w:sz w:val="32"/>
          <w:szCs w:val="32"/>
        </w:rPr>
        <w:t>2.5mg</w:t>
      </w:r>
      <w:r>
        <w:rPr>
          <w:rFonts w:ascii="仿宋" w:eastAsia="仿宋" w:hAnsi="仿宋" w:cs="仿宋" w:hint="eastAsia"/>
          <w:sz w:val="32"/>
          <w:szCs w:val="32"/>
        </w:rPr>
        <w:t>、</w:t>
      </w:r>
      <w:r>
        <w:rPr>
          <w:rFonts w:ascii="仿宋" w:eastAsia="仿宋" w:hAnsi="仿宋" w:cs="仿宋"/>
          <w:sz w:val="32"/>
          <w:szCs w:val="32"/>
        </w:rPr>
        <w:t>5mg</w:t>
      </w:r>
      <w:r>
        <w:rPr>
          <w:rFonts w:ascii="仿宋" w:eastAsia="仿宋" w:hAnsi="仿宋" w:cs="仿宋" w:hint="eastAsia"/>
          <w:sz w:val="32"/>
          <w:szCs w:val="32"/>
        </w:rPr>
        <w:t>、</w:t>
      </w:r>
      <w:r>
        <w:rPr>
          <w:rFonts w:ascii="仿宋" w:eastAsia="仿宋" w:hAnsi="仿宋" w:cs="仿宋"/>
          <w:sz w:val="32"/>
          <w:szCs w:val="32"/>
        </w:rPr>
        <w:t xml:space="preserve">10mg </w:t>
      </w:r>
    </w:p>
    <w:p w:rsidR="00B23A40" w:rsidRDefault="00DD1A0D">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适应证：</w:t>
      </w:r>
      <w:r>
        <w:rPr>
          <w:rFonts w:ascii="仿宋" w:eastAsia="仿宋" w:hAnsi="仿宋" w:cs="仿宋" w:hint="eastAsia"/>
          <w:sz w:val="32"/>
          <w:szCs w:val="32"/>
        </w:rPr>
        <w:t>不可切除的、局部晩期或转移性的、分化良好的（中度分化或高度分化）进展期胰腺神经内分泌瘤成人患</w:t>
      </w:r>
      <w:r>
        <w:rPr>
          <w:rFonts w:ascii="仿宋" w:eastAsia="仿宋" w:hAnsi="仿宋" w:cs="仿宋" w:hint="eastAsia"/>
          <w:sz w:val="32"/>
          <w:szCs w:val="32"/>
        </w:rPr>
        <w:lastRenderedPageBreak/>
        <w:t>者。无法手术切除的、局部晩期或转移性的、分化良好的、进展期非功能姓胃肠道或肺源神经内分泌肿瘤（NET）成人患者。</w:t>
      </w:r>
    </w:p>
    <w:p w:rsidR="00B23A40" w:rsidRDefault="00DD1A0D">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B23A40" w:rsidRDefault="00DD1A0D">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1.用药期间必须注意常见的不良反应，包括口腔炎、皮疹、疲劳、腹泻、感染、恶心、食欲下降、贫血、味觉障碍、周围水肿、高血糖和头痛。</w:t>
      </w:r>
    </w:p>
    <w:p w:rsidR="00B23A40" w:rsidRDefault="00DD1A0D">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非感染性肺炎是雷帕霉素衍生物（包括本品）的类效应。对本品有效成分、其他雷帕霉素衍生物或本品中任何辅料过敏者禁用。使用依维莫司和其他雷帕霉素衍生物患者中观察到的过敏反应表现包括但不限于：呼吸困难、潮红、胸痛或血管性水肿（例如：伴或不伴呼吸功能不全的气道或舌肿胀）。</w:t>
      </w:r>
    </w:p>
    <w:p w:rsidR="00B23A40" w:rsidRDefault="00DD1A0D">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3.同时使用血管紧张素转换酶抑制剂的患者，可能发生血管性水肿的风险升高。</w:t>
      </w:r>
    </w:p>
    <w:p w:rsidR="00B23A40" w:rsidRDefault="00DD1A0D">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4.在本品治疗期间应避免接种活疫苗，例如流感、麻疹、腮腺炎、风疹、口服脊髓灰质炎、卡介苗、黄热病、水痘和TY21a伤寒疫苗等，避免与接种过活疫苗的人密切接触。</w:t>
      </w:r>
    </w:p>
    <w:p w:rsidR="00B23A40" w:rsidRDefault="00DD1A0D">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5. 对所有患者都应逬行常规的依维莫司全血谷浓度监测。＞65岁老人用药的死亡率及发生严重不良反应而终止治疗的发生率明显增高。因此，老年患者使用依维莫司，必须监测不良反应的发生，并且及时调整用药剂量。</w:t>
      </w:r>
    </w:p>
    <w:p w:rsidR="00B23A40" w:rsidRDefault="00DD1A0D">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6.应避免合并使用强效CYP3A4或P-糖蛋白抑制剂、CYP3A4强效诱导剂。</w:t>
      </w:r>
    </w:p>
    <w:p w:rsidR="00B23A40" w:rsidRDefault="00DD1A0D">
      <w:p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 xml:space="preserve">九、西妥昔单抗 </w:t>
      </w:r>
      <w:r>
        <w:rPr>
          <w:rFonts w:ascii="黑体" w:eastAsia="黑体" w:hAnsi="黑体" w:cs="黑体"/>
          <w:sz w:val="32"/>
          <w:szCs w:val="32"/>
        </w:rPr>
        <w:t>cetuximab</w:t>
      </w:r>
    </w:p>
    <w:p w:rsidR="00B23A40" w:rsidRDefault="00DD1A0D">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注射液：</w:t>
      </w:r>
      <w:r>
        <w:rPr>
          <w:rFonts w:ascii="仿宋" w:eastAsia="仿宋" w:hAnsi="仿宋" w:cs="仿宋"/>
          <w:sz w:val="32"/>
          <w:szCs w:val="32"/>
        </w:rPr>
        <w:t>100mg</w:t>
      </w:r>
      <w:r>
        <w:rPr>
          <w:rFonts w:ascii="仿宋" w:eastAsia="仿宋" w:hAnsi="仿宋" w:cs="仿宋" w:hint="eastAsia"/>
          <w:sz w:val="32"/>
          <w:szCs w:val="32"/>
        </w:rPr>
        <w:t>（</w:t>
      </w:r>
      <w:r>
        <w:rPr>
          <w:rFonts w:ascii="仿宋" w:eastAsia="仿宋" w:hAnsi="仿宋" w:cs="仿宋"/>
          <w:sz w:val="32"/>
          <w:szCs w:val="32"/>
        </w:rPr>
        <w:t>20ml</w:t>
      </w:r>
      <w:r>
        <w:rPr>
          <w:rFonts w:ascii="仿宋" w:eastAsia="仿宋" w:hAnsi="仿宋" w:cs="仿宋" w:hint="eastAsia"/>
          <w:sz w:val="32"/>
          <w:szCs w:val="32"/>
        </w:rPr>
        <w:t>）</w:t>
      </w:r>
      <w:r>
        <w:rPr>
          <w:rFonts w:ascii="仿宋" w:eastAsia="仿宋" w:hAnsi="仿宋" w:cs="仿宋"/>
          <w:sz w:val="32"/>
          <w:szCs w:val="32"/>
        </w:rPr>
        <w:t>/</w:t>
      </w:r>
      <w:r>
        <w:rPr>
          <w:rFonts w:ascii="仿宋" w:eastAsia="仿宋" w:hAnsi="仿宋" w:cs="仿宋" w:hint="eastAsia"/>
          <w:sz w:val="32"/>
          <w:szCs w:val="32"/>
        </w:rPr>
        <w:t>瓶</w:t>
      </w:r>
    </w:p>
    <w:p w:rsidR="00B23A40" w:rsidRDefault="00DD1A0D">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rPr>
        <w:t>适应证：</w:t>
      </w:r>
      <w:r>
        <w:rPr>
          <w:rFonts w:ascii="仿宋" w:eastAsia="仿宋" w:hAnsi="仿宋" w:cs="仿宋" w:hint="eastAsia"/>
          <w:sz w:val="32"/>
          <w:szCs w:val="32"/>
        </w:rPr>
        <w:t>用于治疗表达</w:t>
      </w:r>
      <w:r>
        <w:rPr>
          <w:rFonts w:ascii="仿宋" w:eastAsia="仿宋" w:hAnsi="仿宋" w:cs="仿宋"/>
          <w:sz w:val="32"/>
          <w:szCs w:val="32"/>
        </w:rPr>
        <w:t>EGFR</w:t>
      </w:r>
      <w:r>
        <w:rPr>
          <w:rFonts w:ascii="仿宋" w:eastAsia="仿宋" w:hAnsi="仿宋" w:cs="仿宋" w:hint="eastAsia"/>
          <w:sz w:val="32"/>
          <w:szCs w:val="32"/>
        </w:rPr>
        <w:t>、</w:t>
      </w:r>
      <w:r>
        <w:rPr>
          <w:rFonts w:ascii="仿宋" w:eastAsia="仿宋" w:hAnsi="仿宋" w:cs="仿宋"/>
          <w:sz w:val="32"/>
          <w:szCs w:val="32"/>
        </w:rPr>
        <w:t>RAS</w:t>
      </w:r>
      <w:r>
        <w:rPr>
          <w:rFonts w:ascii="仿宋" w:eastAsia="仿宋" w:hAnsi="仿宋" w:cs="仿宋" w:hint="eastAsia"/>
          <w:sz w:val="32"/>
          <w:szCs w:val="32"/>
        </w:rPr>
        <w:t>基因野生型的转移性结直肠癌，与伊立替康联合用于经含伊立替康治疗失败后的患者。</w:t>
      </w:r>
    </w:p>
    <w:p w:rsidR="00B23A40" w:rsidRDefault="00DD1A0D">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用药前必须使用经过验证的方法检测</w:t>
      </w:r>
      <w:r>
        <w:rPr>
          <w:rFonts w:ascii="仿宋" w:eastAsia="仿宋" w:hAnsi="仿宋" w:cs="仿宋"/>
          <w:sz w:val="32"/>
          <w:szCs w:val="32"/>
        </w:rPr>
        <w:t>RAS</w:t>
      </w:r>
      <w:r>
        <w:rPr>
          <w:rFonts w:ascii="仿宋" w:eastAsia="仿宋" w:hAnsi="仿宋" w:cs="仿宋" w:hint="eastAsia"/>
          <w:sz w:val="32"/>
          <w:szCs w:val="32"/>
        </w:rPr>
        <w:t>基因状态，</w:t>
      </w:r>
      <w:r>
        <w:rPr>
          <w:rFonts w:ascii="仿宋" w:eastAsia="仿宋" w:hAnsi="仿宋" w:cs="仿宋"/>
          <w:sz w:val="32"/>
          <w:szCs w:val="32"/>
        </w:rPr>
        <w:t>RAS</w:t>
      </w:r>
      <w:r>
        <w:rPr>
          <w:rFonts w:ascii="仿宋" w:eastAsia="仿宋" w:hAnsi="仿宋" w:cs="仿宋" w:hint="eastAsia"/>
          <w:sz w:val="32"/>
          <w:szCs w:val="32"/>
        </w:rPr>
        <w:t>基因野生型是接受西妥昔单抗治疗的先决条件，本品不用于治疗</w:t>
      </w:r>
      <w:r>
        <w:rPr>
          <w:rFonts w:ascii="仿宋" w:eastAsia="仿宋" w:hAnsi="仿宋" w:cs="仿宋"/>
          <w:sz w:val="32"/>
          <w:szCs w:val="32"/>
        </w:rPr>
        <w:t>RAS</w:t>
      </w:r>
      <w:r>
        <w:rPr>
          <w:rFonts w:ascii="仿宋" w:eastAsia="仿宋" w:hAnsi="仿宋" w:cs="仿宋" w:hint="eastAsia"/>
          <w:sz w:val="32"/>
          <w:szCs w:val="32"/>
        </w:rPr>
        <w:t>基因突变型或</w:t>
      </w:r>
      <w:r>
        <w:rPr>
          <w:rFonts w:ascii="仿宋" w:eastAsia="仿宋" w:hAnsi="仿宋" w:cs="仿宋"/>
          <w:sz w:val="32"/>
          <w:szCs w:val="32"/>
        </w:rPr>
        <w:t>RAS</w:t>
      </w:r>
      <w:r>
        <w:rPr>
          <w:rFonts w:ascii="仿宋" w:eastAsia="仿宋" w:hAnsi="仿宋" w:cs="仿宋" w:hint="eastAsia"/>
          <w:sz w:val="32"/>
          <w:szCs w:val="32"/>
        </w:rPr>
        <w:t>状态不明的患者。</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转化性治疗：结直肠癌患者合并肝转移和</w:t>
      </w:r>
      <w:r>
        <w:rPr>
          <w:rFonts w:ascii="仿宋" w:eastAsia="仿宋" w:hAnsi="仿宋" w:cs="仿宋"/>
          <w:sz w:val="32"/>
          <w:szCs w:val="32"/>
        </w:rPr>
        <w:t>/</w:t>
      </w:r>
      <w:r>
        <w:rPr>
          <w:rFonts w:ascii="仿宋" w:eastAsia="仿宋" w:hAnsi="仿宋" w:cs="仿宋" w:hint="eastAsia"/>
          <w:sz w:val="32"/>
          <w:szCs w:val="32"/>
        </w:rPr>
        <w:t>或肺转移，潜在可切除，可选择西妥昔单抗联合化疗（</w:t>
      </w:r>
      <w:r>
        <w:rPr>
          <w:rFonts w:ascii="仿宋" w:eastAsia="仿宋" w:hAnsi="仿宋" w:cs="仿宋"/>
          <w:sz w:val="32"/>
          <w:szCs w:val="32"/>
        </w:rPr>
        <w:t>RAS</w:t>
      </w:r>
      <w:r>
        <w:rPr>
          <w:rFonts w:ascii="仿宋" w:eastAsia="仿宋" w:hAnsi="仿宋" w:cs="仿宋" w:hint="eastAsia"/>
          <w:sz w:val="32"/>
          <w:szCs w:val="32"/>
        </w:rPr>
        <w:t>野生型）。</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姑息治疗：转移性结直肠癌患者（</w:t>
      </w:r>
      <w:r>
        <w:rPr>
          <w:rFonts w:ascii="仿宋" w:eastAsia="仿宋" w:hAnsi="仿宋" w:cs="仿宋"/>
          <w:sz w:val="32"/>
          <w:szCs w:val="32"/>
        </w:rPr>
        <w:t>RAS</w:t>
      </w:r>
      <w:r>
        <w:rPr>
          <w:rFonts w:ascii="仿宋" w:eastAsia="仿宋" w:hAnsi="仿宋" w:cs="仿宋" w:hint="eastAsia"/>
          <w:sz w:val="32"/>
          <w:szCs w:val="32"/>
        </w:rPr>
        <w:t>野生型）一、二线治疗，尤其是左半肠癌患者，可选择西妥昔单抗</w:t>
      </w:r>
      <w:r>
        <w:rPr>
          <w:rFonts w:ascii="仿宋" w:eastAsia="仿宋" w:hAnsi="仿宋" w:cs="仿宋"/>
          <w:sz w:val="32"/>
          <w:szCs w:val="32"/>
        </w:rPr>
        <w:t>+</w:t>
      </w:r>
      <w:r>
        <w:rPr>
          <w:rFonts w:ascii="仿宋" w:eastAsia="仿宋" w:hAnsi="仿宋" w:cs="仿宋" w:hint="eastAsia"/>
          <w:sz w:val="32"/>
          <w:szCs w:val="32"/>
        </w:rPr>
        <w:t>化疗。对一、二线治疗中没有使用西妥昔单抗的患者（</w:t>
      </w:r>
      <w:r>
        <w:rPr>
          <w:rFonts w:ascii="仿宋" w:eastAsia="仿宋" w:hAnsi="仿宋" w:cs="仿宋"/>
          <w:sz w:val="32"/>
          <w:szCs w:val="32"/>
        </w:rPr>
        <w:t>RAS</w:t>
      </w:r>
      <w:r>
        <w:rPr>
          <w:rFonts w:ascii="仿宋" w:eastAsia="仿宋" w:hAnsi="仿宋" w:cs="仿宋" w:hint="eastAsia"/>
          <w:sz w:val="32"/>
          <w:szCs w:val="32"/>
        </w:rPr>
        <w:t>野生型），可选择西妥昔单抗联合伊立替康化疗。</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如果初始使用西妥昔单抗治疗，在二线或者随后的治疗中均不应再使用西妥昔单抗治疗。</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5.</w:t>
      </w:r>
      <w:r>
        <w:rPr>
          <w:rFonts w:ascii="仿宋" w:eastAsia="仿宋" w:hAnsi="仿宋" w:cs="仿宋" w:hint="eastAsia"/>
          <w:sz w:val="32"/>
          <w:szCs w:val="32"/>
        </w:rPr>
        <w:t>本品常可引起不同程度的皮肤毒性反应，主要表现为痤疮样皮疹，此类患者用药期间应注意避光。轻至中度皮肤毒性反应无需调整剂量，发生重度皮肤毒性反应者，应酌情</w:t>
      </w:r>
      <w:r>
        <w:rPr>
          <w:rFonts w:ascii="仿宋" w:eastAsia="仿宋" w:hAnsi="仿宋" w:cs="仿宋" w:hint="eastAsia"/>
          <w:sz w:val="32"/>
          <w:szCs w:val="32"/>
        </w:rPr>
        <w:lastRenderedPageBreak/>
        <w:t>减量。</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6.</w:t>
      </w:r>
      <w:r>
        <w:rPr>
          <w:rFonts w:ascii="仿宋" w:eastAsia="仿宋" w:hAnsi="仿宋" w:cs="仿宋" w:hint="eastAsia"/>
          <w:sz w:val="32"/>
          <w:szCs w:val="32"/>
        </w:rPr>
        <w:t>严重的输液反应发生率为</w:t>
      </w:r>
      <w:r>
        <w:rPr>
          <w:rFonts w:ascii="仿宋" w:eastAsia="仿宋" w:hAnsi="仿宋" w:cs="仿宋"/>
          <w:sz w:val="32"/>
          <w:szCs w:val="32"/>
        </w:rPr>
        <w:t>3%</w:t>
      </w:r>
      <w:r>
        <w:rPr>
          <w:rFonts w:ascii="仿宋" w:eastAsia="仿宋" w:hAnsi="仿宋" w:cs="仿宋" w:hint="eastAsia"/>
          <w:sz w:val="32"/>
          <w:szCs w:val="32"/>
        </w:rPr>
        <w:t>，致死率低于</w:t>
      </w:r>
      <w:r>
        <w:rPr>
          <w:rFonts w:ascii="仿宋" w:eastAsia="仿宋" w:hAnsi="仿宋" w:cs="仿宋"/>
          <w:sz w:val="32"/>
          <w:szCs w:val="32"/>
        </w:rPr>
        <w:t>0.1%</w:t>
      </w:r>
      <w:r>
        <w:rPr>
          <w:rFonts w:ascii="仿宋" w:eastAsia="仿宋" w:hAnsi="仿宋" w:cs="仿宋" w:hint="eastAsia"/>
          <w:sz w:val="32"/>
          <w:szCs w:val="32"/>
        </w:rPr>
        <w:t>。其中</w:t>
      </w:r>
      <w:r>
        <w:rPr>
          <w:rFonts w:ascii="仿宋" w:eastAsia="仿宋" w:hAnsi="仿宋" w:cs="仿宋"/>
          <w:sz w:val="32"/>
          <w:szCs w:val="32"/>
        </w:rPr>
        <w:t>90%</w:t>
      </w:r>
      <w:r>
        <w:rPr>
          <w:rFonts w:ascii="仿宋" w:eastAsia="仿宋" w:hAnsi="仿宋" w:cs="仿宋" w:hint="eastAsia"/>
          <w:sz w:val="32"/>
          <w:szCs w:val="32"/>
        </w:rPr>
        <w:t>发生于第一次使用时，以突发性气道梗阻、荨麻疹和低血压为特征。首次滴注本品之前，患者必须接受抗组胺药物和糖皮质激素类药物的治疗，建议在随后每次使用本品之前都对患者进行这种治疗。</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7.</w:t>
      </w:r>
      <w:r>
        <w:rPr>
          <w:rFonts w:ascii="仿宋" w:eastAsia="仿宋" w:hAnsi="仿宋" w:cs="仿宋" w:hint="eastAsia"/>
          <w:sz w:val="32"/>
          <w:szCs w:val="32"/>
        </w:rPr>
        <w:t>仅对肝肾功能正常的患者（血清肌酐≤正常值上限的</w:t>
      </w:r>
      <w:r>
        <w:rPr>
          <w:rFonts w:ascii="仿宋" w:eastAsia="仿宋" w:hAnsi="仿宋" w:cs="仿宋"/>
          <w:sz w:val="32"/>
          <w:szCs w:val="32"/>
        </w:rPr>
        <w:t>1.5</w:t>
      </w:r>
      <w:r>
        <w:rPr>
          <w:rFonts w:ascii="仿宋" w:eastAsia="仿宋" w:hAnsi="仿宋" w:cs="仿宋" w:hint="eastAsia"/>
          <w:sz w:val="32"/>
          <w:szCs w:val="32"/>
        </w:rPr>
        <w:t>倍，转氨酶≤正常值上限的</w:t>
      </w:r>
      <w:r>
        <w:rPr>
          <w:rFonts w:ascii="仿宋" w:eastAsia="仿宋" w:hAnsi="仿宋" w:cs="仿宋"/>
          <w:sz w:val="32"/>
          <w:szCs w:val="32"/>
        </w:rPr>
        <w:t>5</w:t>
      </w:r>
      <w:r>
        <w:rPr>
          <w:rFonts w:ascii="仿宋" w:eastAsia="仿宋" w:hAnsi="仿宋" w:cs="仿宋" w:hint="eastAsia"/>
          <w:sz w:val="32"/>
          <w:szCs w:val="32"/>
        </w:rPr>
        <w:t>倍，胆红素≤正常值上限的</w:t>
      </w:r>
      <w:r>
        <w:rPr>
          <w:rFonts w:ascii="仿宋" w:eastAsia="仿宋" w:hAnsi="仿宋" w:cs="仿宋"/>
          <w:sz w:val="32"/>
          <w:szCs w:val="32"/>
        </w:rPr>
        <w:t>1.5</w:t>
      </w:r>
      <w:r>
        <w:rPr>
          <w:rFonts w:ascii="仿宋" w:eastAsia="仿宋" w:hAnsi="仿宋" w:cs="仿宋" w:hint="eastAsia"/>
          <w:sz w:val="32"/>
          <w:szCs w:val="32"/>
        </w:rPr>
        <w:t>倍）进行过本品的相关研究。</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8.</w:t>
      </w:r>
      <w:r>
        <w:rPr>
          <w:rFonts w:ascii="仿宋" w:eastAsia="仿宋" w:hAnsi="仿宋" w:cs="仿宋" w:hint="eastAsia"/>
          <w:sz w:val="32"/>
          <w:szCs w:val="32"/>
        </w:rPr>
        <w:t>本品应储存在</w:t>
      </w:r>
      <w:r>
        <w:rPr>
          <w:rFonts w:ascii="仿宋" w:eastAsia="仿宋" w:hAnsi="仿宋" w:cs="仿宋"/>
          <w:sz w:val="32"/>
          <w:szCs w:val="32"/>
        </w:rPr>
        <w:t>2</w:t>
      </w:r>
      <w:r>
        <w:rPr>
          <w:rFonts w:ascii="仿宋" w:eastAsia="仿宋" w:hAnsi="仿宋" w:cs="仿宋" w:hint="eastAsia"/>
          <w:sz w:val="32"/>
          <w:szCs w:val="32"/>
        </w:rPr>
        <w:t>～</w:t>
      </w:r>
      <w:r>
        <w:rPr>
          <w:rFonts w:ascii="仿宋" w:eastAsia="仿宋" w:hAnsi="仿宋" w:cs="仿宋"/>
          <w:sz w:val="32"/>
          <w:szCs w:val="32"/>
        </w:rPr>
        <w:t>8</w:t>
      </w:r>
      <w:r>
        <w:rPr>
          <w:rFonts w:ascii="仿宋" w:eastAsia="仿宋" w:hAnsi="仿宋" w:cs="仿宋" w:hint="eastAsia"/>
          <w:sz w:val="32"/>
          <w:szCs w:val="32"/>
        </w:rPr>
        <w:t>℃，禁止冷冻，开启后应立即使用。</w:t>
      </w:r>
    </w:p>
    <w:p w:rsidR="00B23A40" w:rsidRDefault="00DD1A0D">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vertAlign w:val="superscript"/>
        </w:rPr>
        <w:t>※</w:t>
      </w:r>
      <w:r>
        <w:rPr>
          <w:rFonts w:ascii="仿宋" w:eastAsia="仿宋" w:hAnsi="仿宋" w:cs="仿宋"/>
          <w:sz w:val="32"/>
          <w:szCs w:val="32"/>
        </w:rPr>
        <w:t>9.</w:t>
      </w:r>
      <w:r>
        <w:rPr>
          <w:rFonts w:ascii="仿宋" w:eastAsia="仿宋" w:hAnsi="仿宋" w:cs="仿宋" w:hint="eastAsia"/>
          <w:sz w:val="32"/>
          <w:szCs w:val="32"/>
        </w:rPr>
        <w:t>与</w:t>
      </w:r>
      <w:r>
        <w:rPr>
          <w:rFonts w:ascii="仿宋" w:eastAsia="仿宋" w:hAnsi="仿宋" w:cs="仿宋"/>
          <w:sz w:val="32"/>
          <w:szCs w:val="32"/>
        </w:rPr>
        <w:t>FOLFOX</w:t>
      </w:r>
      <w:r>
        <w:rPr>
          <w:rFonts w:ascii="仿宋" w:eastAsia="仿宋" w:hAnsi="仿宋" w:cs="仿宋" w:hint="eastAsia"/>
          <w:sz w:val="32"/>
          <w:szCs w:val="32"/>
        </w:rPr>
        <w:t>联合用于一线治疗</w:t>
      </w:r>
      <w:r>
        <w:rPr>
          <w:rFonts w:ascii="仿宋" w:eastAsia="仿宋" w:hAnsi="仿宋" w:cs="仿宋"/>
          <w:sz w:val="32"/>
          <w:szCs w:val="32"/>
        </w:rPr>
        <w:t>RAS</w:t>
      </w:r>
      <w:r>
        <w:rPr>
          <w:rFonts w:ascii="仿宋" w:eastAsia="仿宋" w:hAnsi="仿宋" w:cs="仿宋" w:hint="eastAsia"/>
          <w:sz w:val="32"/>
          <w:szCs w:val="32"/>
        </w:rPr>
        <w:t>基因野生型、表达</w:t>
      </w:r>
      <w:r>
        <w:rPr>
          <w:rFonts w:ascii="仿宋" w:eastAsia="仿宋" w:hAnsi="仿宋" w:cs="仿宋"/>
          <w:sz w:val="32"/>
          <w:szCs w:val="32"/>
        </w:rPr>
        <w:t>EGFR</w:t>
      </w:r>
      <w:r>
        <w:rPr>
          <w:rFonts w:ascii="仿宋" w:eastAsia="仿宋" w:hAnsi="仿宋" w:cs="仿宋" w:hint="eastAsia"/>
          <w:sz w:val="32"/>
          <w:szCs w:val="32"/>
        </w:rPr>
        <w:t>基因的转移性结直肠癌（已有Ⅲ期临床结果，正在申报中国适应证）。</w:t>
      </w:r>
    </w:p>
    <w:p w:rsidR="00B23A40" w:rsidRDefault="00DD1A0D">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vertAlign w:val="superscript"/>
        </w:rPr>
        <w:t>※</w:t>
      </w:r>
      <w:r>
        <w:rPr>
          <w:rFonts w:ascii="仿宋" w:eastAsia="仿宋" w:hAnsi="仿宋" w:cs="仿宋"/>
          <w:sz w:val="32"/>
          <w:szCs w:val="32"/>
        </w:rPr>
        <w:t>10.</w:t>
      </w:r>
      <w:r>
        <w:rPr>
          <w:rFonts w:ascii="仿宋" w:eastAsia="仿宋" w:hAnsi="仿宋" w:cs="仿宋" w:hint="eastAsia"/>
          <w:sz w:val="32"/>
          <w:szCs w:val="32"/>
        </w:rPr>
        <w:t>与</w:t>
      </w:r>
      <w:r>
        <w:rPr>
          <w:rFonts w:ascii="仿宋" w:eastAsia="仿宋" w:hAnsi="仿宋" w:cs="仿宋"/>
          <w:sz w:val="32"/>
          <w:szCs w:val="32"/>
        </w:rPr>
        <w:t>FOLFIRI</w:t>
      </w:r>
      <w:r>
        <w:rPr>
          <w:rFonts w:ascii="仿宋" w:eastAsia="仿宋" w:hAnsi="仿宋" w:cs="仿宋" w:hint="eastAsia"/>
          <w:sz w:val="32"/>
          <w:szCs w:val="32"/>
        </w:rPr>
        <w:t>联合用于一线治疗</w:t>
      </w:r>
      <w:r>
        <w:rPr>
          <w:rFonts w:ascii="仿宋" w:eastAsia="仿宋" w:hAnsi="仿宋" w:cs="仿宋"/>
          <w:sz w:val="32"/>
          <w:szCs w:val="32"/>
        </w:rPr>
        <w:t>RAS</w:t>
      </w:r>
      <w:r>
        <w:rPr>
          <w:rFonts w:ascii="仿宋" w:eastAsia="仿宋" w:hAnsi="仿宋" w:cs="仿宋" w:hint="eastAsia"/>
          <w:sz w:val="32"/>
          <w:szCs w:val="32"/>
        </w:rPr>
        <w:t>基因野生型、表达</w:t>
      </w:r>
      <w:r>
        <w:rPr>
          <w:rFonts w:ascii="仿宋" w:eastAsia="仿宋" w:hAnsi="仿宋" w:cs="仿宋"/>
          <w:sz w:val="32"/>
          <w:szCs w:val="32"/>
        </w:rPr>
        <w:t>EGFR</w:t>
      </w:r>
      <w:r>
        <w:rPr>
          <w:rFonts w:ascii="仿宋" w:eastAsia="仿宋" w:hAnsi="仿宋" w:cs="仿宋" w:hint="eastAsia"/>
          <w:sz w:val="32"/>
          <w:szCs w:val="32"/>
        </w:rPr>
        <w:t>的转移性结直肠癌（美国</w:t>
      </w:r>
      <w:r>
        <w:rPr>
          <w:rFonts w:ascii="仿宋" w:eastAsia="仿宋" w:hAnsi="仿宋" w:cs="仿宋"/>
          <w:sz w:val="32"/>
          <w:szCs w:val="32"/>
        </w:rPr>
        <w:t>FDA</w:t>
      </w:r>
      <w:r>
        <w:rPr>
          <w:rFonts w:ascii="仿宋" w:eastAsia="仿宋" w:hAnsi="仿宋" w:cs="仿宋" w:hint="eastAsia"/>
          <w:sz w:val="32"/>
          <w:szCs w:val="32"/>
        </w:rPr>
        <w:t>已批准的适应证）。</w:t>
      </w:r>
    </w:p>
    <w:p w:rsidR="00B23A40" w:rsidRDefault="00DD1A0D">
      <w:pPr>
        <w:spacing w:line="360" w:lineRule="auto"/>
        <w:ind w:firstLineChars="200" w:firstLine="640"/>
        <w:rPr>
          <w:rFonts w:ascii="黑体" w:eastAsia="黑体" w:hAnsi="黑体"/>
          <w:color w:val="000000"/>
          <w:sz w:val="32"/>
          <w:szCs w:val="32"/>
        </w:rPr>
      </w:pPr>
      <w:r>
        <w:rPr>
          <w:rFonts w:ascii="黑体" w:eastAsia="黑体" w:hAnsi="黑体" w:cs="黑体" w:hint="eastAsia"/>
          <w:sz w:val="32"/>
          <w:szCs w:val="32"/>
        </w:rPr>
        <w:t xml:space="preserve">十、贝伐珠单抗 </w:t>
      </w:r>
      <w:r>
        <w:rPr>
          <w:rFonts w:ascii="黑体" w:eastAsia="黑体" w:hAnsi="黑体" w:cs="黑体"/>
          <w:sz w:val="32"/>
          <w:szCs w:val="32"/>
        </w:rPr>
        <w:t>bevacizumab</w:t>
      </w:r>
    </w:p>
    <w:p w:rsidR="00B23A40" w:rsidRDefault="00DD1A0D">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针剂：</w:t>
      </w:r>
      <w:r>
        <w:rPr>
          <w:rFonts w:ascii="仿宋" w:eastAsia="仿宋" w:hAnsi="仿宋" w:cs="仿宋"/>
          <w:sz w:val="32"/>
          <w:szCs w:val="32"/>
        </w:rPr>
        <w:t>100mg</w:t>
      </w:r>
      <w:r>
        <w:rPr>
          <w:rFonts w:ascii="仿宋" w:eastAsia="仿宋" w:hAnsi="仿宋" w:cs="仿宋" w:hint="eastAsia"/>
          <w:sz w:val="32"/>
          <w:szCs w:val="32"/>
        </w:rPr>
        <w:t>（</w:t>
      </w:r>
      <w:r>
        <w:rPr>
          <w:rFonts w:ascii="仿宋" w:eastAsia="仿宋" w:hAnsi="仿宋" w:cs="仿宋"/>
          <w:sz w:val="32"/>
          <w:szCs w:val="32"/>
        </w:rPr>
        <w:t>4ml</w:t>
      </w:r>
      <w:r>
        <w:rPr>
          <w:rFonts w:ascii="仿宋" w:eastAsia="仿宋" w:hAnsi="仿宋" w:cs="仿宋" w:hint="eastAsia"/>
          <w:sz w:val="32"/>
          <w:szCs w:val="32"/>
        </w:rPr>
        <w:t>）</w:t>
      </w:r>
      <w:r>
        <w:rPr>
          <w:rFonts w:ascii="仿宋" w:eastAsia="仿宋" w:hAnsi="仿宋" w:cs="仿宋"/>
          <w:sz w:val="32"/>
          <w:szCs w:val="32"/>
        </w:rPr>
        <w:t>/</w:t>
      </w:r>
      <w:r>
        <w:rPr>
          <w:rFonts w:ascii="仿宋" w:eastAsia="仿宋" w:hAnsi="仿宋" w:cs="仿宋" w:hint="eastAsia"/>
          <w:sz w:val="32"/>
          <w:szCs w:val="32"/>
        </w:rPr>
        <w:t>瓶</w:t>
      </w:r>
    </w:p>
    <w:p w:rsidR="00B23A40" w:rsidRDefault="00DD1A0D">
      <w:pPr>
        <w:spacing w:line="360" w:lineRule="auto"/>
        <w:ind w:firstLineChars="200" w:firstLine="643"/>
        <w:rPr>
          <w:rFonts w:ascii="仿宋" w:eastAsia="仿宋" w:hAnsi="仿宋"/>
          <w:b/>
          <w:bCs/>
          <w:sz w:val="32"/>
          <w:szCs w:val="32"/>
        </w:rPr>
      </w:pPr>
      <w:r>
        <w:rPr>
          <w:rFonts w:ascii="仿宋" w:eastAsia="仿宋" w:hAnsi="仿宋" w:cs="仿宋" w:hint="eastAsia"/>
          <w:b/>
          <w:bCs/>
          <w:sz w:val="32"/>
          <w:szCs w:val="32"/>
        </w:rPr>
        <w:t>适应证：</w:t>
      </w:r>
    </w:p>
    <w:p w:rsidR="00B23A40" w:rsidRDefault="00DD1A0D">
      <w:pPr>
        <w:spacing w:line="360" w:lineRule="auto"/>
        <w:ind w:firstLineChars="200" w:firstLine="640"/>
        <w:rPr>
          <w:rFonts w:ascii="仿宋" w:eastAsia="仿宋" w:hAnsi="仿宋" w:cs="仿宋"/>
          <w:sz w:val="32"/>
          <w:szCs w:val="32"/>
        </w:rPr>
      </w:pPr>
      <w:r>
        <w:rPr>
          <w:rFonts w:ascii="仿宋" w:eastAsia="仿宋" w:hAnsi="仿宋" w:cs="仿宋"/>
          <w:sz w:val="32"/>
          <w:szCs w:val="32"/>
        </w:rPr>
        <w:t>1.转移性结直肠癌</w:t>
      </w:r>
      <w:r>
        <w:rPr>
          <w:rFonts w:ascii="仿宋" w:eastAsia="仿宋" w:hAnsi="仿宋" w:cs="仿宋" w:hint="eastAsia"/>
          <w:sz w:val="32"/>
          <w:szCs w:val="32"/>
        </w:rPr>
        <w:t>。</w:t>
      </w:r>
    </w:p>
    <w:p w:rsidR="00B23A40" w:rsidRDefault="00DD1A0D">
      <w:pPr>
        <w:spacing w:line="360" w:lineRule="auto"/>
        <w:ind w:firstLineChars="200" w:firstLine="640"/>
        <w:rPr>
          <w:rFonts w:ascii="仿宋" w:eastAsia="仿宋" w:hAnsi="仿宋" w:cs="仿宋"/>
          <w:sz w:val="32"/>
          <w:szCs w:val="32"/>
        </w:rPr>
      </w:pPr>
      <w:r>
        <w:rPr>
          <w:rFonts w:ascii="仿宋" w:eastAsia="仿宋" w:hAnsi="仿宋" w:cs="仿宋"/>
          <w:sz w:val="32"/>
          <w:szCs w:val="32"/>
        </w:rPr>
        <w:t>2.</w:t>
      </w:r>
      <w:hyperlink r:id="rId10" w:tgtFrame="_blank" w:history="1">
        <w:r>
          <w:rPr>
            <w:rFonts w:ascii="仿宋" w:eastAsia="仿宋" w:hAnsi="仿宋" w:cs="仿宋"/>
            <w:sz w:val="32"/>
            <w:szCs w:val="32"/>
          </w:rPr>
          <w:t>贝伐珠单抗</w:t>
        </w:r>
      </w:hyperlink>
      <w:r>
        <w:rPr>
          <w:rFonts w:ascii="仿宋" w:eastAsia="仿宋" w:hAnsi="仿宋" w:cs="仿宋"/>
          <w:sz w:val="32"/>
          <w:szCs w:val="32"/>
        </w:rPr>
        <w:t>联合以氟</w:t>
      </w:r>
      <w:r>
        <w:rPr>
          <w:rFonts w:ascii="仿宋" w:eastAsia="仿宋" w:hAnsi="仿宋" w:cs="仿宋" w:hint="eastAsia"/>
          <w:sz w:val="32"/>
          <w:szCs w:val="32"/>
        </w:rPr>
        <w:t>尿</w:t>
      </w:r>
      <w:r>
        <w:rPr>
          <w:rFonts w:ascii="仿宋" w:eastAsia="仿宋" w:hAnsi="仿宋" w:cs="仿宋"/>
          <w:sz w:val="32"/>
          <w:szCs w:val="32"/>
        </w:rPr>
        <w:t>嘧啶为基础的化疗适用于转移性结直肠癌患者的治疗。</w:t>
      </w:r>
    </w:p>
    <w:p w:rsidR="00B23A40" w:rsidRDefault="00DD1A0D">
      <w:pPr>
        <w:spacing w:line="360" w:lineRule="auto"/>
        <w:ind w:firstLineChars="200" w:firstLine="643"/>
        <w:rPr>
          <w:rFonts w:ascii="仿宋" w:eastAsia="仿宋" w:hAnsi="仿宋"/>
          <w:b/>
          <w:bCs/>
          <w:sz w:val="32"/>
          <w:szCs w:val="32"/>
        </w:rPr>
      </w:pPr>
      <w:r>
        <w:rPr>
          <w:rFonts w:ascii="仿宋" w:eastAsia="仿宋" w:hAnsi="仿宋" w:cs="仿宋" w:hint="eastAsia"/>
          <w:b/>
          <w:bCs/>
          <w:sz w:val="32"/>
          <w:szCs w:val="32"/>
        </w:rPr>
        <w:t>合理用药要点：</w:t>
      </w:r>
    </w:p>
    <w:p w:rsidR="00B23A40" w:rsidRDefault="00DD1A0D">
      <w:pPr>
        <w:spacing w:line="360" w:lineRule="auto"/>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lastRenderedPageBreak/>
        <w:t>1.转移性结直肠癌患者的一、二线治疗，可选择贝伐珠单抗+化疗。</w:t>
      </w:r>
    </w:p>
    <w:p w:rsidR="00B23A40" w:rsidRDefault="00DD1A0D">
      <w:pPr>
        <w:spacing w:line="360" w:lineRule="auto"/>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2.一线接受贝伐珠单抗治疗疾病控制后，随后给予贝伐珠单抗+氟尿嘧啶类药物维持直至疾病进展。</w:t>
      </w:r>
    </w:p>
    <w:p w:rsidR="00B23A40" w:rsidRDefault="00DD1A0D">
      <w:pPr>
        <w:spacing w:line="360" w:lineRule="auto"/>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3.一线使用贝伐珠单抗治疗疾病进展的患者，二线转换化疗方案后可继续联用贝伐珠单抗治疗直至疾病再次进展。</w:t>
      </w:r>
    </w:p>
    <w:p w:rsidR="00B23A40" w:rsidRDefault="00DD1A0D">
      <w:pPr>
        <w:spacing w:line="360" w:lineRule="auto"/>
        <w:ind w:firstLineChars="200" w:firstLine="640"/>
        <w:rPr>
          <w:rFonts w:ascii="仿宋" w:eastAsia="仿宋" w:hAnsi="仿宋"/>
          <w:kern w:val="0"/>
          <w:sz w:val="32"/>
          <w:szCs w:val="32"/>
        </w:rPr>
      </w:pPr>
      <w:r>
        <w:rPr>
          <w:rFonts w:ascii="仿宋" w:eastAsia="仿宋" w:hAnsi="仿宋" w:cs="仿宋"/>
          <w:kern w:val="0"/>
          <w:sz w:val="32"/>
          <w:szCs w:val="32"/>
        </w:rPr>
        <w:t>4.</w:t>
      </w:r>
      <w:r>
        <w:rPr>
          <w:rFonts w:ascii="仿宋" w:eastAsia="仿宋" w:hAnsi="仿宋" w:cs="仿宋" w:hint="eastAsia"/>
          <w:kern w:val="0"/>
          <w:sz w:val="32"/>
          <w:szCs w:val="32"/>
        </w:rPr>
        <w:t>转移性结直肠癌</w:t>
      </w:r>
      <w:r>
        <w:rPr>
          <w:rFonts w:ascii="仿宋" w:eastAsia="仿宋" w:hAnsi="仿宋" w:cs="仿宋"/>
          <w:kern w:val="0"/>
          <w:sz w:val="32"/>
          <w:szCs w:val="32"/>
        </w:rPr>
        <w:t>贝伐珠单抗静脉输注的推荐剂量为：联合化疗方案时，5mg/kg体重，每两周给药一次，或7.5mg/kg体重，每3周给药一次。</w:t>
      </w:r>
      <w:r>
        <w:rPr>
          <w:rFonts w:ascii="仿宋" w:eastAsia="仿宋" w:hAnsi="仿宋" w:cs="仿宋" w:hint="eastAsia"/>
          <w:kern w:val="0"/>
          <w:sz w:val="32"/>
          <w:szCs w:val="32"/>
        </w:rPr>
        <w:t>不推荐降低贝伐珠单抗的使用剂量。</w:t>
      </w:r>
    </w:p>
    <w:p w:rsidR="00B23A40" w:rsidRDefault="00DD1A0D">
      <w:pPr>
        <w:spacing w:line="360" w:lineRule="auto"/>
        <w:ind w:firstLineChars="200" w:firstLine="640"/>
        <w:rPr>
          <w:rFonts w:ascii="仿宋" w:eastAsia="仿宋" w:hAnsi="仿宋"/>
          <w:color w:val="000000"/>
          <w:kern w:val="0"/>
          <w:sz w:val="32"/>
          <w:szCs w:val="32"/>
        </w:rPr>
      </w:pPr>
      <w:r>
        <w:rPr>
          <w:rFonts w:ascii="仿宋" w:eastAsia="仿宋" w:hAnsi="仿宋" w:cs="仿宋"/>
          <w:color w:val="000000"/>
          <w:kern w:val="0"/>
          <w:sz w:val="32"/>
          <w:szCs w:val="32"/>
        </w:rPr>
        <w:t>5.</w:t>
      </w:r>
      <w:r>
        <w:rPr>
          <w:rFonts w:ascii="仿宋" w:eastAsia="仿宋" w:hAnsi="仿宋" w:cs="仿宋" w:hint="eastAsia"/>
          <w:color w:val="000000"/>
          <w:kern w:val="0"/>
          <w:sz w:val="32"/>
          <w:szCs w:val="32"/>
        </w:rPr>
        <w:t>贝伐珠单抗稀释后采用静脉输注的方式给药，首次静脉输注时间需持续</w:t>
      </w:r>
      <w:r>
        <w:rPr>
          <w:rFonts w:ascii="仿宋" w:eastAsia="仿宋" w:hAnsi="仿宋" w:cs="仿宋"/>
          <w:color w:val="000000"/>
          <w:kern w:val="0"/>
          <w:sz w:val="32"/>
          <w:szCs w:val="32"/>
        </w:rPr>
        <w:t>90</w:t>
      </w:r>
      <w:r>
        <w:rPr>
          <w:rFonts w:ascii="仿宋" w:eastAsia="仿宋" w:hAnsi="仿宋" w:cs="仿宋" w:hint="eastAsia"/>
          <w:color w:val="000000"/>
          <w:kern w:val="0"/>
          <w:sz w:val="32"/>
          <w:szCs w:val="32"/>
        </w:rPr>
        <w:t>分钟。如果第一次输注耐受性良好，则第二次输注的时间可以缩短到</w:t>
      </w:r>
      <w:r>
        <w:rPr>
          <w:rFonts w:ascii="仿宋" w:eastAsia="仿宋" w:hAnsi="仿宋" w:cs="仿宋"/>
          <w:color w:val="000000"/>
          <w:kern w:val="0"/>
          <w:sz w:val="32"/>
          <w:szCs w:val="32"/>
        </w:rPr>
        <w:t>60</w:t>
      </w:r>
      <w:r>
        <w:rPr>
          <w:rFonts w:ascii="仿宋" w:eastAsia="仿宋" w:hAnsi="仿宋" w:cs="仿宋" w:hint="eastAsia"/>
          <w:color w:val="000000"/>
          <w:kern w:val="0"/>
          <w:sz w:val="32"/>
          <w:szCs w:val="32"/>
        </w:rPr>
        <w:t>分钟。如果患者对</w:t>
      </w:r>
      <w:r>
        <w:rPr>
          <w:rFonts w:ascii="仿宋" w:eastAsia="仿宋" w:hAnsi="仿宋" w:cs="仿宋"/>
          <w:color w:val="000000"/>
          <w:kern w:val="0"/>
          <w:sz w:val="32"/>
          <w:szCs w:val="32"/>
        </w:rPr>
        <w:t>60</w:t>
      </w:r>
      <w:r>
        <w:rPr>
          <w:rFonts w:ascii="仿宋" w:eastAsia="仿宋" w:hAnsi="仿宋" w:cs="仿宋" w:hint="eastAsia"/>
          <w:color w:val="000000"/>
          <w:kern w:val="0"/>
          <w:sz w:val="32"/>
          <w:szCs w:val="32"/>
        </w:rPr>
        <w:t>分钟的输注也具有良好的耐受性，那么随后进行的所有输注都可以用</w:t>
      </w:r>
      <w:r>
        <w:rPr>
          <w:rFonts w:ascii="仿宋" w:eastAsia="仿宋" w:hAnsi="仿宋" w:cs="仿宋"/>
          <w:color w:val="000000"/>
          <w:kern w:val="0"/>
          <w:sz w:val="32"/>
          <w:szCs w:val="32"/>
        </w:rPr>
        <w:t>30</w:t>
      </w:r>
      <w:r>
        <w:rPr>
          <w:rFonts w:ascii="仿宋" w:eastAsia="仿宋" w:hAnsi="仿宋" w:cs="仿宋" w:hint="eastAsia"/>
          <w:color w:val="000000"/>
          <w:kern w:val="0"/>
          <w:sz w:val="32"/>
          <w:szCs w:val="32"/>
        </w:rPr>
        <w:t>分钟的时间完成。贝伐珠单抗不能采用静脉内推注或快速注射。</w:t>
      </w:r>
    </w:p>
    <w:p w:rsidR="00B23A40" w:rsidRDefault="00DD1A0D">
      <w:pPr>
        <w:spacing w:line="360" w:lineRule="auto"/>
        <w:ind w:firstLineChars="200" w:firstLine="640"/>
        <w:rPr>
          <w:rFonts w:ascii="仿宋" w:eastAsia="仿宋" w:hAnsi="仿宋"/>
          <w:color w:val="000000"/>
          <w:kern w:val="0"/>
          <w:sz w:val="32"/>
          <w:szCs w:val="32"/>
        </w:rPr>
      </w:pPr>
      <w:r>
        <w:rPr>
          <w:rFonts w:ascii="仿宋" w:eastAsia="仿宋" w:hAnsi="仿宋" w:cs="仿宋"/>
          <w:color w:val="000000"/>
          <w:kern w:val="0"/>
          <w:sz w:val="32"/>
          <w:szCs w:val="32"/>
        </w:rPr>
        <w:t>6.</w:t>
      </w:r>
      <w:r>
        <w:rPr>
          <w:rFonts w:ascii="仿宋" w:eastAsia="仿宋" w:hAnsi="仿宋" w:cs="仿宋" w:hint="eastAsia"/>
          <w:color w:val="000000"/>
          <w:kern w:val="0"/>
          <w:sz w:val="32"/>
          <w:szCs w:val="32"/>
        </w:rPr>
        <w:t>在老年人中应用时不需要进行剂量调整。</w:t>
      </w:r>
    </w:p>
    <w:p w:rsidR="00B23A40" w:rsidRDefault="00DD1A0D">
      <w:pPr>
        <w:spacing w:line="360" w:lineRule="auto"/>
        <w:ind w:firstLineChars="200" w:firstLine="640"/>
        <w:rPr>
          <w:rFonts w:ascii="仿宋" w:eastAsia="仿宋" w:hAnsi="仿宋"/>
          <w:color w:val="000000"/>
          <w:kern w:val="0"/>
          <w:sz w:val="32"/>
          <w:szCs w:val="32"/>
        </w:rPr>
      </w:pPr>
      <w:r>
        <w:rPr>
          <w:rFonts w:ascii="仿宋" w:eastAsia="仿宋" w:hAnsi="仿宋" w:cs="仿宋"/>
          <w:color w:val="000000"/>
          <w:kern w:val="0"/>
          <w:sz w:val="32"/>
          <w:szCs w:val="32"/>
        </w:rPr>
        <w:t>7.</w:t>
      </w:r>
      <w:r>
        <w:rPr>
          <w:rFonts w:ascii="仿宋" w:eastAsia="仿宋" w:hAnsi="仿宋" w:cs="仿宋" w:hint="eastAsia"/>
          <w:color w:val="000000"/>
          <w:kern w:val="0"/>
          <w:sz w:val="32"/>
          <w:szCs w:val="32"/>
        </w:rPr>
        <w:t>出现以下情况，停止使用贝伐珠单抗：胃肠道严重不良反应（胃肠道穿孔、胃肠道瘘形成、腹腔脓肿），涉及到内脏瘘形成；需要干预治疗的伤口裂开以及伤口愈合并发症；严重出血（例如需要干预治疗）；严重动脉血栓事件；高血压危象或高血压脑病；可逆性后部白质脑病综合征；肾病综合征。</w:t>
      </w:r>
    </w:p>
    <w:p w:rsidR="00B23A40" w:rsidRDefault="00DD1A0D">
      <w:pPr>
        <w:spacing w:line="360" w:lineRule="auto"/>
        <w:ind w:firstLineChars="200" w:firstLine="640"/>
        <w:rPr>
          <w:rFonts w:ascii="仿宋" w:eastAsia="仿宋" w:hAnsi="仿宋"/>
          <w:color w:val="000000"/>
          <w:kern w:val="0"/>
          <w:sz w:val="32"/>
          <w:szCs w:val="32"/>
        </w:rPr>
      </w:pPr>
      <w:r>
        <w:rPr>
          <w:rFonts w:ascii="仿宋" w:eastAsia="仿宋" w:hAnsi="仿宋" w:cs="仿宋"/>
          <w:color w:val="000000"/>
          <w:kern w:val="0"/>
          <w:sz w:val="32"/>
          <w:szCs w:val="32"/>
        </w:rPr>
        <w:lastRenderedPageBreak/>
        <w:t>8.</w:t>
      </w:r>
      <w:r>
        <w:rPr>
          <w:rFonts w:ascii="仿宋" w:eastAsia="仿宋" w:hAnsi="仿宋" w:cs="仿宋" w:hint="eastAsia"/>
          <w:color w:val="000000"/>
          <w:kern w:val="0"/>
          <w:sz w:val="32"/>
          <w:szCs w:val="32"/>
        </w:rPr>
        <w:t>如果出现以下状况，需暂停使用贝伐珠单抗：择期手术前4周；药物控制不良的严重高血压；中度到重度的蛋白尿需要进一步评估；严重输液反应。</w:t>
      </w:r>
    </w:p>
    <w:p w:rsidR="00B23A40" w:rsidRDefault="00DD1A0D">
      <w:pPr>
        <w:spacing w:line="360" w:lineRule="auto"/>
        <w:ind w:firstLineChars="200" w:firstLine="640"/>
        <w:rPr>
          <w:rFonts w:ascii="仿宋" w:eastAsia="仿宋" w:hAnsi="仿宋"/>
          <w:color w:val="000000"/>
          <w:kern w:val="0"/>
          <w:sz w:val="32"/>
          <w:szCs w:val="32"/>
        </w:rPr>
      </w:pPr>
      <w:r>
        <w:rPr>
          <w:rFonts w:ascii="仿宋" w:eastAsia="仿宋" w:hAnsi="仿宋" w:cs="仿宋"/>
          <w:color w:val="000000"/>
          <w:kern w:val="0"/>
          <w:sz w:val="32"/>
          <w:szCs w:val="32"/>
        </w:rPr>
        <w:t>9.</w:t>
      </w:r>
      <w:r>
        <w:rPr>
          <w:rFonts w:ascii="仿宋" w:eastAsia="仿宋" w:hAnsi="仿宋" w:cs="仿宋" w:hint="eastAsia"/>
          <w:color w:val="000000"/>
          <w:kern w:val="0"/>
          <w:sz w:val="32"/>
          <w:szCs w:val="32"/>
        </w:rPr>
        <w:t>不能将贝伐珠单抗输注液与右旋糖或葡萄糖溶液同时或混合给药。</w:t>
      </w:r>
    </w:p>
    <w:p w:rsidR="00B23A40" w:rsidRDefault="00DD1A0D">
      <w:pPr>
        <w:spacing w:line="360" w:lineRule="auto"/>
        <w:ind w:firstLineChars="200" w:firstLine="640"/>
        <w:rPr>
          <w:rFonts w:ascii="仿宋" w:eastAsia="仿宋" w:hAnsi="仿宋" w:cs="仿宋"/>
          <w:color w:val="000000"/>
          <w:kern w:val="0"/>
          <w:sz w:val="32"/>
          <w:szCs w:val="32"/>
        </w:rPr>
      </w:pPr>
      <w:r>
        <w:rPr>
          <w:rFonts w:ascii="仿宋" w:eastAsia="仿宋" w:hAnsi="仿宋" w:cs="仿宋"/>
          <w:color w:val="000000"/>
          <w:kern w:val="0"/>
          <w:sz w:val="32"/>
          <w:szCs w:val="32"/>
        </w:rPr>
        <w:t>1</w:t>
      </w:r>
      <w:r>
        <w:rPr>
          <w:rFonts w:ascii="仿宋" w:eastAsia="仿宋" w:hAnsi="仿宋" w:cs="仿宋" w:hint="eastAsia"/>
          <w:color w:val="000000"/>
          <w:kern w:val="0"/>
          <w:sz w:val="32"/>
          <w:szCs w:val="32"/>
        </w:rPr>
        <w:t>0</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贝伐珠单抗配制，用</w:t>
      </w:r>
      <w:r>
        <w:rPr>
          <w:rFonts w:ascii="仿宋" w:eastAsia="仿宋" w:hAnsi="仿宋" w:cs="仿宋"/>
          <w:color w:val="000000"/>
          <w:kern w:val="0"/>
          <w:sz w:val="32"/>
          <w:szCs w:val="32"/>
        </w:rPr>
        <w:t>0.9%</w:t>
      </w:r>
      <w:r>
        <w:rPr>
          <w:rFonts w:ascii="仿宋" w:eastAsia="仿宋" w:hAnsi="仿宋" w:cs="仿宋" w:hint="eastAsia"/>
          <w:color w:val="000000"/>
          <w:kern w:val="0"/>
          <w:sz w:val="32"/>
          <w:szCs w:val="32"/>
        </w:rPr>
        <w:t>的氯化钠溶液稀释到需要的给药容积。贝伐珠单抗溶液的终浓度应该保持在</w:t>
      </w:r>
      <w:r>
        <w:rPr>
          <w:rFonts w:ascii="仿宋" w:eastAsia="仿宋" w:hAnsi="仿宋" w:cs="仿宋"/>
          <w:color w:val="000000"/>
          <w:kern w:val="0"/>
          <w:sz w:val="32"/>
          <w:szCs w:val="32"/>
        </w:rPr>
        <w:t>1.4</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16.5mg/ml</w:t>
      </w:r>
      <w:r>
        <w:rPr>
          <w:rFonts w:ascii="仿宋" w:eastAsia="仿宋" w:hAnsi="仿宋" w:cs="仿宋" w:hint="eastAsia"/>
          <w:color w:val="000000"/>
          <w:kern w:val="0"/>
          <w:sz w:val="32"/>
          <w:szCs w:val="32"/>
        </w:rPr>
        <w:t>之间。</w:t>
      </w:r>
    </w:p>
    <w:p w:rsidR="00B23A40" w:rsidRDefault="00DD1A0D">
      <w:pPr>
        <w:spacing w:line="360" w:lineRule="auto"/>
        <w:ind w:firstLineChars="200" w:firstLine="640"/>
        <w:rPr>
          <w:rFonts w:ascii="仿宋" w:eastAsia="仿宋" w:hAnsi="仿宋"/>
          <w:color w:val="000000"/>
          <w:kern w:val="0"/>
          <w:sz w:val="32"/>
          <w:szCs w:val="32"/>
        </w:rPr>
      </w:pPr>
      <w:r>
        <w:rPr>
          <w:rFonts w:ascii="仿宋" w:eastAsia="仿宋" w:hAnsi="仿宋" w:cs="仿宋"/>
          <w:color w:val="000000"/>
          <w:kern w:val="0"/>
          <w:sz w:val="32"/>
          <w:szCs w:val="32"/>
        </w:rPr>
        <w:t>1</w:t>
      </w:r>
      <w:r>
        <w:rPr>
          <w:rFonts w:ascii="仿宋" w:eastAsia="仿宋" w:hAnsi="仿宋" w:cs="仿宋" w:hint="eastAsia"/>
          <w:color w:val="000000"/>
          <w:kern w:val="0"/>
          <w:sz w:val="32"/>
          <w:szCs w:val="32"/>
        </w:rPr>
        <w:t>1</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贝伐珠单抗禁止冷冻储存，禁止摇动。应避光，</w:t>
      </w:r>
      <w:r>
        <w:rPr>
          <w:rFonts w:ascii="仿宋" w:eastAsia="仿宋" w:hAnsi="仿宋" w:cs="仿宋"/>
          <w:color w:val="000000"/>
          <w:kern w:val="0"/>
          <w:sz w:val="32"/>
          <w:szCs w:val="32"/>
        </w:rPr>
        <w:t>2</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8</w:t>
      </w:r>
      <w:r>
        <w:rPr>
          <w:rFonts w:ascii="仿宋" w:eastAsia="仿宋" w:hAnsi="仿宋" w:cs="仿宋" w:hint="eastAsia"/>
          <w:color w:val="000000"/>
          <w:kern w:val="0"/>
          <w:sz w:val="32"/>
          <w:szCs w:val="32"/>
        </w:rPr>
        <w:t>℃在原包装中储存和运输。</w:t>
      </w:r>
    </w:p>
    <w:p w:rsidR="00B23A40" w:rsidRDefault="00DD1A0D">
      <w:pPr>
        <w:spacing w:line="360" w:lineRule="auto"/>
        <w:ind w:firstLineChars="200" w:firstLine="640"/>
        <w:rPr>
          <w:rFonts w:ascii="仿宋" w:eastAsia="仿宋" w:hAnsi="仿宋" w:cs="仿宋"/>
          <w:color w:val="000000"/>
          <w:kern w:val="0"/>
          <w:sz w:val="32"/>
          <w:szCs w:val="32"/>
        </w:rPr>
      </w:pPr>
      <w:r>
        <w:rPr>
          <w:rFonts w:ascii="仿宋" w:eastAsia="仿宋" w:hAnsi="仿宋" w:cs="仿宋"/>
          <w:color w:val="000000"/>
          <w:kern w:val="0"/>
          <w:sz w:val="32"/>
          <w:szCs w:val="32"/>
        </w:rPr>
        <w:t>1</w:t>
      </w:r>
      <w:r>
        <w:rPr>
          <w:rFonts w:ascii="仿宋" w:eastAsia="仿宋" w:hAnsi="仿宋" w:cs="仿宋" w:hint="eastAsia"/>
          <w:color w:val="000000"/>
          <w:kern w:val="0"/>
          <w:sz w:val="32"/>
          <w:szCs w:val="32"/>
        </w:rPr>
        <w:t>2</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在</w:t>
      </w:r>
      <w:r>
        <w:rPr>
          <w:rFonts w:ascii="仿宋" w:eastAsia="仿宋" w:hAnsi="仿宋" w:cs="仿宋"/>
          <w:color w:val="000000"/>
          <w:kern w:val="0"/>
          <w:sz w:val="32"/>
          <w:szCs w:val="32"/>
        </w:rPr>
        <w:t>2</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30</w:t>
      </w:r>
      <w:r>
        <w:rPr>
          <w:rFonts w:ascii="仿宋" w:eastAsia="仿宋" w:hAnsi="仿宋" w:cs="仿宋" w:hint="eastAsia"/>
          <w:color w:val="000000"/>
          <w:kern w:val="0"/>
          <w:sz w:val="32"/>
          <w:szCs w:val="32"/>
        </w:rPr>
        <w:t>℃条件下，</w:t>
      </w:r>
      <w:r>
        <w:rPr>
          <w:rFonts w:ascii="仿宋" w:eastAsia="仿宋" w:hAnsi="仿宋" w:cs="仿宋"/>
          <w:color w:val="000000"/>
          <w:kern w:val="0"/>
          <w:sz w:val="32"/>
          <w:szCs w:val="32"/>
        </w:rPr>
        <w:t>0.9%</w:t>
      </w:r>
      <w:r>
        <w:rPr>
          <w:rFonts w:ascii="仿宋" w:eastAsia="仿宋" w:hAnsi="仿宋" w:cs="仿宋" w:hint="eastAsia"/>
          <w:color w:val="000000"/>
          <w:kern w:val="0"/>
          <w:sz w:val="32"/>
          <w:szCs w:val="32"/>
        </w:rPr>
        <w:t>的氯化钠溶液中，贝伐珠单抗在使用过程中的化学和物理稳定性可以保持</w:t>
      </w:r>
      <w:r>
        <w:rPr>
          <w:rFonts w:ascii="仿宋" w:eastAsia="仿宋" w:hAnsi="仿宋" w:cs="仿宋"/>
          <w:color w:val="000000"/>
          <w:kern w:val="0"/>
          <w:sz w:val="32"/>
          <w:szCs w:val="32"/>
        </w:rPr>
        <w:t>48</w:t>
      </w:r>
      <w:r>
        <w:rPr>
          <w:rFonts w:ascii="仿宋" w:eastAsia="仿宋" w:hAnsi="仿宋" w:cs="仿宋" w:hint="eastAsia"/>
          <w:color w:val="000000"/>
          <w:kern w:val="0"/>
          <w:sz w:val="32"/>
          <w:szCs w:val="32"/>
        </w:rPr>
        <w:t>个小时。产品在无菌条件下配制后在</w:t>
      </w:r>
      <w:r>
        <w:rPr>
          <w:rFonts w:ascii="仿宋" w:eastAsia="仿宋" w:hAnsi="仿宋" w:cs="仿宋"/>
          <w:color w:val="000000"/>
          <w:kern w:val="0"/>
          <w:sz w:val="32"/>
          <w:szCs w:val="32"/>
        </w:rPr>
        <w:t>2</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8</w:t>
      </w:r>
      <w:r>
        <w:rPr>
          <w:rFonts w:ascii="仿宋" w:eastAsia="仿宋" w:hAnsi="仿宋" w:cs="仿宋" w:hint="eastAsia"/>
          <w:color w:val="000000"/>
          <w:kern w:val="0"/>
          <w:sz w:val="32"/>
          <w:szCs w:val="32"/>
        </w:rPr>
        <w:t>℃条件下的储存时间不宜超过</w:t>
      </w:r>
      <w:r>
        <w:rPr>
          <w:rFonts w:ascii="仿宋" w:eastAsia="仿宋" w:hAnsi="仿宋" w:cs="仿宋"/>
          <w:color w:val="000000"/>
          <w:kern w:val="0"/>
          <w:sz w:val="32"/>
          <w:szCs w:val="32"/>
        </w:rPr>
        <w:t>24</w:t>
      </w:r>
      <w:r>
        <w:rPr>
          <w:rFonts w:ascii="仿宋" w:eastAsia="仿宋" w:hAnsi="仿宋" w:cs="仿宋" w:hint="eastAsia"/>
          <w:color w:val="000000"/>
          <w:kern w:val="0"/>
          <w:sz w:val="32"/>
          <w:szCs w:val="32"/>
        </w:rPr>
        <w:t>小时。</w:t>
      </w:r>
    </w:p>
    <w:p w:rsidR="00B23A40" w:rsidRDefault="00DD1A0D">
      <w:pPr>
        <w:ind w:firstLineChars="200" w:firstLine="640"/>
        <w:rPr>
          <w:rFonts w:ascii="黑体" w:eastAsia="黑体" w:hAnsi="黑体"/>
          <w:color w:val="000000"/>
          <w:sz w:val="32"/>
          <w:szCs w:val="32"/>
        </w:rPr>
      </w:pPr>
      <w:r>
        <w:rPr>
          <w:rFonts w:ascii="黑体" w:eastAsia="黑体" w:hAnsi="黑体" w:hint="eastAsia"/>
          <w:color w:val="000000"/>
          <w:sz w:val="32"/>
          <w:szCs w:val="32"/>
        </w:rPr>
        <w:t>十一、呋喹替尼 f</w:t>
      </w:r>
      <w:r>
        <w:rPr>
          <w:rFonts w:ascii="黑体" w:eastAsia="黑体" w:hAnsi="黑体"/>
          <w:color w:val="000000"/>
          <w:sz w:val="32"/>
          <w:szCs w:val="32"/>
        </w:rPr>
        <w:t>ruquintinib</w:t>
      </w:r>
    </w:p>
    <w:p w:rsidR="00B23A40" w:rsidRDefault="00DD1A0D">
      <w:pPr>
        <w:ind w:firstLineChars="200" w:firstLine="643"/>
        <w:rPr>
          <w:rFonts w:ascii="仿宋" w:eastAsia="仿宋" w:hAnsi="仿宋"/>
          <w:color w:val="000000"/>
          <w:sz w:val="32"/>
          <w:szCs w:val="32"/>
        </w:rPr>
      </w:pPr>
      <w:r>
        <w:rPr>
          <w:rFonts w:ascii="仿宋" w:eastAsia="仿宋" w:hAnsi="仿宋" w:hint="eastAsia"/>
          <w:b/>
          <w:color w:val="000000"/>
          <w:sz w:val="32"/>
          <w:szCs w:val="32"/>
        </w:rPr>
        <w:t>制剂与规格：</w:t>
      </w:r>
      <w:r>
        <w:rPr>
          <w:rFonts w:ascii="仿宋" w:eastAsia="仿宋" w:hAnsi="仿宋" w:hint="eastAsia"/>
          <w:color w:val="000000"/>
          <w:sz w:val="32"/>
          <w:szCs w:val="32"/>
        </w:rPr>
        <w:t>硬胶囊剂：1mg、5mg</w:t>
      </w:r>
    </w:p>
    <w:p w:rsidR="00B23A40" w:rsidRDefault="00DD1A0D">
      <w:pPr>
        <w:ind w:firstLineChars="200" w:firstLine="643"/>
        <w:rPr>
          <w:rFonts w:ascii="仿宋" w:eastAsia="仿宋" w:hAnsi="仿宋"/>
          <w:color w:val="000000"/>
          <w:sz w:val="32"/>
          <w:szCs w:val="32"/>
        </w:rPr>
      </w:pPr>
      <w:r>
        <w:rPr>
          <w:rFonts w:ascii="仿宋" w:eastAsia="仿宋" w:hAnsi="仿宋" w:hint="eastAsia"/>
          <w:b/>
          <w:color w:val="000000"/>
          <w:sz w:val="32"/>
          <w:szCs w:val="32"/>
        </w:rPr>
        <w:t>适应证</w:t>
      </w:r>
      <w:r>
        <w:rPr>
          <w:rFonts w:ascii="仿宋" w:eastAsia="仿宋" w:hAnsi="仿宋" w:hint="eastAsia"/>
          <w:color w:val="000000"/>
          <w:sz w:val="32"/>
          <w:szCs w:val="32"/>
        </w:rPr>
        <w:t>：本品单药适用于既往接受过氟尿嘧啶类、奥沙利铂和伊立替康为基础的化疗，以及既往接受过或不适合接受VEGF治疗、EGFR治疗（RAS野生型）的转移性结直肠癌（mCRC）患者。</w:t>
      </w:r>
    </w:p>
    <w:p w:rsidR="00B23A40" w:rsidRDefault="00DD1A0D">
      <w:pPr>
        <w:ind w:firstLineChars="200" w:firstLine="643"/>
        <w:rPr>
          <w:rFonts w:ascii="仿宋" w:eastAsia="仿宋" w:hAnsi="仿宋"/>
          <w:b/>
          <w:color w:val="000000"/>
          <w:sz w:val="32"/>
          <w:szCs w:val="32"/>
        </w:rPr>
      </w:pPr>
      <w:r>
        <w:rPr>
          <w:rFonts w:ascii="仿宋" w:eastAsia="仿宋" w:hAnsi="仿宋" w:hint="eastAsia"/>
          <w:b/>
          <w:color w:val="000000"/>
          <w:sz w:val="32"/>
          <w:szCs w:val="32"/>
        </w:rPr>
        <w:t>合理用药要点：</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1.用药前无需进行基因检测。</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2.推荐剂量为每次5mg，每日1次；连续服药3周，随后停药1周（每4周为一个治疗周期）。持续按治疗周期服药，直至疾病进展或出现不可耐受的毒性。呋喹替尼可与食物同服或空腹口服，需整粒吞服。建议每日同一时段服药，如果服药后患者呕吐，无需补服；漏服剂量，不应在次日加服，应按常规服用下一次处方剂量。</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3.中国人群常见的不良反应（发生率≥20%）为高血压、蛋白尿、手足皮肤反应、发声困难、出血、转氨酶升高、甲状腺功能检查异常、腹痛/腹部不适、口腔黏膜炎、疲乏/乏力、腹泻、感染、血胆红素升高以及食欲下降。目前尚未有药物性肝功能损伤的报告。</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4.严重活动性出血、活动性消化性溃疡、未愈合的胃肠穿孔、消化道瘘患者禁用。重度肝肾功能不全患者禁用。妊娠、哺乳期妇女禁用。</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5.对本品任何成分过敏者禁用。</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6.目前尚无本品药物相互作用的临床资料。。</w:t>
      </w:r>
    </w:p>
    <w:p w:rsidR="00B23A40" w:rsidRDefault="00B23A40">
      <w:pPr>
        <w:widowControl/>
        <w:spacing w:line="360" w:lineRule="auto"/>
        <w:jc w:val="center"/>
        <w:rPr>
          <w:rFonts w:ascii="仿宋" w:eastAsia="仿宋" w:hAnsi="仿宋" w:cs="Times New Roman"/>
          <w:b/>
          <w:bCs/>
          <w:sz w:val="32"/>
          <w:szCs w:val="32"/>
        </w:rPr>
      </w:pPr>
    </w:p>
    <w:p w:rsidR="00B23A40" w:rsidRDefault="00DD1A0D">
      <w:pPr>
        <w:widowControl/>
        <w:spacing w:line="360" w:lineRule="auto"/>
        <w:jc w:val="center"/>
        <w:rPr>
          <w:rFonts w:ascii="宋体" w:cs="Times New Roman"/>
          <w:b/>
          <w:bCs/>
          <w:sz w:val="44"/>
          <w:szCs w:val="44"/>
        </w:rPr>
      </w:pPr>
      <w:r>
        <w:rPr>
          <w:rFonts w:ascii="宋体" w:hAnsi="宋体" w:cs="宋体" w:hint="eastAsia"/>
          <w:b/>
          <w:bCs/>
          <w:sz w:val="44"/>
          <w:szCs w:val="44"/>
        </w:rPr>
        <w:t>血液肿瘤用药</w:t>
      </w:r>
    </w:p>
    <w:p w:rsidR="00B23A40" w:rsidRDefault="00B23A40">
      <w:pPr>
        <w:widowControl/>
        <w:spacing w:line="360" w:lineRule="auto"/>
        <w:jc w:val="center"/>
        <w:rPr>
          <w:rFonts w:ascii="仿宋" w:eastAsia="仿宋" w:hAnsi="仿宋" w:cs="Times New Roman"/>
          <w:b/>
          <w:bCs/>
          <w:sz w:val="32"/>
          <w:szCs w:val="32"/>
        </w:rPr>
      </w:pPr>
    </w:p>
    <w:p w:rsidR="00B23A40" w:rsidRDefault="00DD1A0D">
      <w:p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 xml:space="preserve">一、伊马替尼 </w:t>
      </w:r>
      <w:r>
        <w:rPr>
          <w:rFonts w:ascii="黑体" w:eastAsia="黑体" w:hAnsi="黑体" w:cs="黑体"/>
          <w:sz w:val="32"/>
          <w:szCs w:val="32"/>
        </w:rPr>
        <w:t>imatinib</w:t>
      </w:r>
    </w:p>
    <w:p w:rsidR="00B23A40" w:rsidRDefault="00DD1A0D">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）片剂：</w:t>
      </w:r>
      <w:r>
        <w:rPr>
          <w:rFonts w:ascii="仿宋" w:eastAsia="仿宋" w:hAnsi="仿宋" w:cs="仿宋"/>
          <w:sz w:val="32"/>
          <w:szCs w:val="32"/>
        </w:rPr>
        <w:t>100mg</w:t>
      </w:r>
      <w:r>
        <w:rPr>
          <w:rFonts w:ascii="仿宋" w:eastAsia="仿宋" w:hAnsi="仿宋" w:cs="仿宋" w:hint="eastAsia"/>
          <w:sz w:val="32"/>
          <w:szCs w:val="32"/>
        </w:rPr>
        <w:t>、</w:t>
      </w:r>
      <w:r>
        <w:rPr>
          <w:rFonts w:ascii="仿宋" w:eastAsia="仿宋" w:hAnsi="仿宋" w:cs="仿宋"/>
          <w:sz w:val="32"/>
          <w:szCs w:val="32"/>
        </w:rPr>
        <w:t>400mg</w:t>
      </w: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）胶囊：</w:t>
      </w:r>
      <w:r>
        <w:rPr>
          <w:rFonts w:ascii="仿宋" w:eastAsia="仿宋" w:hAnsi="仿宋" w:cs="仿宋"/>
          <w:sz w:val="32"/>
          <w:szCs w:val="32"/>
        </w:rPr>
        <w:t>50mg</w:t>
      </w:r>
      <w:r>
        <w:rPr>
          <w:rFonts w:ascii="仿宋" w:eastAsia="仿宋" w:hAnsi="仿宋" w:cs="仿宋" w:hint="eastAsia"/>
          <w:sz w:val="32"/>
          <w:szCs w:val="32"/>
        </w:rPr>
        <w:t>、</w:t>
      </w:r>
      <w:r>
        <w:rPr>
          <w:rFonts w:ascii="仿宋" w:eastAsia="仿宋" w:hAnsi="仿宋" w:cs="仿宋"/>
          <w:sz w:val="32"/>
          <w:szCs w:val="32"/>
        </w:rPr>
        <w:t>100mg</w:t>
      </w:r>
    </w:p>
    <w:p w:rsidR="00B23A40" w:rsidRDefault="00DD1A0D">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lastRenderedPageBreak/>
        <w:t>适应证：</w:t>
      </w:r>
      <w:r>
        <w:rPr>
          <w:rFonts w:ascii="仿宋" w:eastAsia="仿宋" w:hAnsi="仿宋" w:cs="仿宋" w:hint="eastAsia"/>
          <w:sz w:val="32"/>
          <w:szCs w:val="32"/>
        </w:rPr>
        <w:t>用于治疗费城染色体阳性的慢性髓性白血病（</w:t>
      </w:r>
      <w:r>
        <w:rPr>
          <w:rFonts w:ascii="仿宋" w:eastAsia="仿宋" w:hAnsi="仿宋" w:cs="仿宋"/>
          <w:sz w:val="32"/>
          <w:szCs w:val="32"/>
        </w:rPr>
        <w:t>Ph+CML</w:t>
      </w:r>
      <w:r>
        <w:rPr>
          <w:rFonts w:ascii="仿宋" w:eastAsia="仿宋" w:hAnsi="仿宋" w:cs="仿宋" w:hint="eastAsia"/>
          <w:sz w:val="32"/>
          <w:szCs w:val="32"/>
        </w:rPr>
        <w:t>）的慢性期、加速期或急变期；联合化疗治疗新诊断的费城染色体阳性的急性淋巴细胞白血病（</w:t>
      </w:r>
      <w:r>
        <w:rPr>
          <w:rFonts w:ascii="仿宋" w:eastAsia="仿宋" w:hAnsi="仿宋" w:cs="仿宋"/>
          <w:sz w:val="32"/>
          <w:szCs w:val="32"/>
        </w:rPr>
        <w:t>Ph+ALL</w:t>
      </w:r>
      <w:r>
        <w:rPr>
          <w:rFonts w:ascii="仿宋" w:eastAsia="仿宋" w:hAnsi="仿宋" w:cs="仿宋" w:hint="eastAsia"/>
          <w:sz w:val="32"/>
          <w:szCs w:val="32"/>
        </w:rPr>
        <w:t>）的儿童患者；用于治疗复发的或难治的费城染色体阳性的急性淋巴细胞白血病（</w:t>
      </w:r>
      <w:r>
        <w:rPr>
          <w:rFonts w:ascii="仿宋" w:eastAsia="仿宋" w:hAnsi="仿宋" w:cs="仿宋"/>
          <w:sz w:val="32"/>
          <w:szCs w:val="32"/>
        </w:rPr>
        <w:t>Ph+ALL</w:t>
      </w:r>
      <w:r>
        <w:rPr>
          <w:rFonts w:ascii="仿宋" w:eastAsia="仿宋" w:hAnsi="仿宋" w:cs="仿宋" w:hint="eastAsia"/>
          <w:sz w:val="32"/>
          <w:szCs w:val="32"/>
        </w:rPr>
        <w:t>）的成人患者；用于治疗嗜酸粒细胞增多综合征（</w:t>
      </w:r>
      <w:r>
        <w:rPr>
          <w:rFonts w:ascii="仿宋" w:eastAsia="仿宋" w:hAnsi="仿宋" w:cs="仿宋"/>
          <w:sz w:val="32"/>
          <w:szCs w:val="32"/>
        </w:rPr>
        <w:t>HES</w:t>
      </w:r>
      <w:r>
        <w:rPr>
          <w:rFonts w:ascii="仿宋" w:eastAsia="仿宋" w:hAnsi="仿宋" w:cs="仿宋" w:hint="eastAsia"/>
          <w:sz w:val="32"/>
          <w:szCs w:val="32"/>
        </w:rPr>
        <w:t>）和</w:t>
      </w:r>
      <w:r>
        <w:rPr>
          <w:rFonts w:ascii="仿宋" w:eastAsia="仿宋" w:hAnsi="仿宋" w:cs="仿宋"/>
          <w:sz w:val="32"/>
          <w:szCs w:val="32"/>
        </w:rPr>
        <w:t>/</w:t>
      </w:r>
      <w:r>
        <w:rPr>
          <w:rFonts w:ascii="仿宋" w:eastAsia="仿宋" w:hAnsi="仿宋" w:cs="仿宋" w:hint="eastAsia"/>
          <w:sz w:val="32"/>
          <w:szCs w:val="32"/>
        </w:rPr>
        <w:t>或慢性嗜酸粒细胞白血病（</w:t>
      </w:r>
      <w:r>
        <w:rPr>
          <w:rFonts w:ascii="仿宋" w:eastAsia="仿宋" w:hAnsi="仿宋" w:cs="仿宋"/>
          <w:sz w:val="32"/>
          <w:szCs w:val="32"/>
        </w:rPr>
        <w:t>CEL</w:t>
      </w:r>
      <w:r>
        <w:rPr>
          <w:rFonts w:ascii="仿宋" w:eastAsia="仿宋" w:hAnsi="仿宋" w:cs="仿宋" w:hint="eastAsia"/>
          <w:sz w:val="32"/>
          <w:szCs w:val="32"/>
        </w:rPr>
        <w:t>）伴有</w:t>
      </w:r>
      <w:r>
        <w:rPr>
          <w:rFonts w:ascii="仿宋" w:eastAsia="仿宋" w:hAnsi="仿宋" w:cs="仿宋"/>
          <w:sz w:val="32"/>
          <w:szCs w:val="32"/>
        </w:rPr>
        <w:t>FIP1L1-PDGFR</w:t>
      </w:r>
      <w:r>
        <w:rPr>
          <w:rFonts w:ascii="仿宋" w:eastAsia="仿宋" w:hAnsi="仿宋" w:cs="仿宋" w:hint="eastAsia"/>
          <w:sz w:val="32"/>
          <w:szCs w:val="32"/>
        </w:rPr>
        <w:t>α融合基因的成年患者；用于治疗骨髓增生异常综合征</w:t>
      </w:r>
      <w:r>
        <w:rPr>
          <w:rFonts w:ascii="仿宋" w:eastAsia="仿宋" w:hAnsi="仿宋" w:cs="仿宋"/>
          <w:sz w:val="32"/>
          <w:szCs w:val="32"/>
        </w:rPr>
        <w:t>/</w:t>
      </w:r>
      <w:r>
        <w:rPr>
          <w:rFonts w:ascii="仿宋" w:eastAsia="仿宋" w:hAnsi="仿宋" w:cs="仿宋" w:hint="eastAsia"/>
          <w:sz w:val="32"/>
          <w:szCs w:val="32"/>
        </w:rPr>
        <w:t>骨髓增殖性疾病（</w:t>
      </w:r>
      <w:r>
        <w:rPr>
          <w:rFonts w:ascii="仿宋" w:eastAsia="仿宋" w:hAnsi="仿宋" w:cs="仿宋"/>
          <w:sz w:val="32"/>
          <w:szCs w:val="32"/>
        </w:rPr>
        <w:t>MDS/MPD</w:t>
      </w:r>
      <w:r>
        <w:rPr>
          <w:rFonts w:ascii="仿宋" w:eastAsia="仿宋" w:hAnsi="仿宋" w:cs="仿宋" w:hint="eastAsia"/>
          <w:sz w:val="32"/>
          <w:szCs w:val="32"/>
        </w:rPr>
        <w:t>）伴有血小板衍生生长因子受体（</w:t>
      </w:r>
      <w:r>
        <w:rPr>
          <w:rFonts w:ascii="仿宋" w:eastAsia="仿宋" w:hAnsi="仿宋" w:cs="仿宋"/>
          <w:sz w:val="32"/>
          <w:szCs w:val="32"/>
        </w:rPr>
        <w:t>PDGFR</w:t>
      </w:r>
      <w:r>
        <w:rPr>
          <w:rFonts w:ascii="仿宋" w:eastAsia="仿宋" w:hAnsi="仿宋" w:cs="仿宋" w:hint="eastAsia"/>
          <w:sz w:val="32"/>
          <w:szCs w:val="32"/>
        </w:rPr>
        <w:t>）基因重排的成年患者。</w:t>
      </w:r>
    </w:p>
    <w:p w:rsidR="00B23A40" w:rsidRDefault="00DD1A0D">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用药前必须明确诊断费城染色体阳性或</w:t>
      </w:r>
      <w:r>
        <w:rPr>
          <w:rFonts w:ascii="仿宋" w:eastAsia="仿宋" w:hAnsi="仿宋" w:cs="仿宋"/>
          <w:sz w:val="32"/>
          <w:szCs w:val="32"/>
        </w:rPr>
        <w:t>BCR-ABL</w:t>
      </w:r>
      <w:r>
        <w:rPr>
          <w:rFonts w:ascii="仿宋" w:eastAsia="仿宋" w:hAnsi="仿宋" w:cs="仿宋" w:hint="eastAsia"/>
          <w:sz w:val="32"/>
          <w:szCs w:val="32"/>
        </w:rPr>
        <w:t>阳性的慢性髓性白血病或急性淋巴细胞白血病，或伴有</w:t>
      </w:r>
      <w:r>
        <w:rPr>
          <w:rFonts w:ascii="仿宋" w:eastAsia="仿宋" w:hAnsi="仿宋" w:cs="仿宋"/>
          <w:sz w:val="32"/>
          <w:szCs w:val="32"/>
        </w:rPr>
        <w:t>PDGFR</w:t>
      </w:r>
      <w:r>
        <w:rPr>
          <w:rFonts w:ascii="仿宋" w:eastAsia="仿宋" w:hAnsi="仿宋" w:cs="仿宋" w:hint="eastAsia"/>
          <w:sz w:val="32"/>
          <w:szCs w:val="32"/>
        </w:rPr>
        <w:t>基因重排的髓系增殖性肿瘤。</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应当按照相关疾病指南，治疗前做基线评估，治疗期间定期监测血液学、细胞遗传学和分子生物学反应。</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根据不同疾病种类和分期，选择初始治疗剂量，治疗中根据疗效和不良反应调整剂量。</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常见不良事件（＞</w:t>
      </w:r>
      <w:r>
        <w:rPr>
          <w:rFonts w:ascii="仿宋" w:eastAsia="仿宋" w:hAnsi="仿宋" w:cs="仿宋"/>
          <w:sz w:val="32"/>
          <w:szCs w:val="32"/>
        </w:rPr>
        <w:t>10%</w:t>
      </w:r>
      <w:r>
        <w:rPr>
          <w:rFonts w:ascii="仿宋" w:eastAsia="仿宋" w:hAnsi="仿宋" w:cs="仿宋" w:hint="eastAsia"/>
          <w:sz w:val="32"/>
          <w:szCs w:val="32"/>
        </w:rPr>
        <w:t>）为中性粒细胞减少、血小板减少、贫血、头痛、消化不良、水肿、体重增加、恶心、呕吐、肌肉痉挛、肌肉骨骼痛、腹泻、皮疹、疲劳和腹痛。</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5.</w:t>
      </w:r>
      <w:r>
        <w:rPr>
          <w:rFonts w:ascii="仿宋" w:eastAsia="仿宋" w:hAnsi="仿宋" w:cs="仿宋" w:hint="eastAsia"/>
          <w:sz w:val="32"/>
          <w:szCs w:val="32"/>
        </w:rPr>
        <w:t>治疗期间因毒性不可耐受或耐药时，可选择二代药物替换。</w:t>
      </w:r>
    </w:p>
    <w:p w:rsidR="00B23A40" w:rsidRDefault="00DD1A0D">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vertAlign w:val="superscript"/>
        </w:rPr>
        <w:lastRenderedPageBreak/>
        <w:t>※</w:t>
      </w:r>
      <w:r>
        <w:rPr>
          <w:rFonts w:ascii="仿宋" w:eastAsia="仿宋" w:hAnsi="仿宋" w:cs="仿宋" w:hint="eastAsia"/>
          <w:sz w:val="32"/>
          <w:szCs w:val="32"/>
        </w:rPr>
        <w:t>6</w:t>
      </w:r>
      <w:r>
        <w:rPr>
          <w:rFonts w:ascii="仿宋" w:eastAsia="仿宋" w:hAnsi="仿宋" w:cs="仿宋"/>
          <w:sz w:val="32"/>
          <w:szCs w:val="32"/>
        </w:rPr>
        <w:t>.</w:t>
      </w:r>
      <w:r>
        <w:rPr>
          <w:rFonts w:ascii="仿宋" w:eastAsia="仿宋" w:hAnsi="仿宋" w:cs="仿宋" w:hint="eastAsia"/>
          <w:sz w:val="32"/>
          <w:szCs w:val="32"/>
        </w:rPr>
        <w:t>伊马替尼用于成人初治</w:t>
      </w:r>
      <w:r>
        <w:rPr>
          <w:rFonts w:ascii="仿宋" w:eastAsia="仿宋" w:hAnsi="仿宋" w:cs="仿宋"/>
          <w:sz w:val="32"/>
          <w:szCs w:val="32"/>
        </w:rPr>
        <w:t>Ph+</w:t>
      </w:r>
      <w:r>
        <w:rPr>
          <w:rFonts w:ascii="仿宋" w:eastAsia="仿宋" w:hAnsi="仿宋" w:cs="仿宋" w:hint="eastAsia"/>
          <w:sz w:val="32"/>
          <w:szCs w:val="32"/>
        </w:rPr>
        <w:t>急性淋巴细胞白血病（全球其他国家已批准的适应证）。</w:t>
      </w:r>
    </w:p>
    <w:p w:rsidR="00B23A40" w:rsidRDefault="00DD1A0D">
      <w:p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 xml:space="preserve">二、达沙替尼 </w:t>
      </w:r>
      <w:r>
        <w:rPr>
          <w:rFonts w:ascii="黑体" w:eastAsia="黑体" w:hAnsi="黑体" w:cs="黑体"/>
          <w:sz w:val="32"/>
          <w:szCs w:val="32"/>
        </w:rPr>
        <w:t>dasatinib</w:t>
      </w:r>
    </w:p>
    <w:p w:rsidR="00B23A40" w:rsidRDefault="00DD1A0D">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片剂：</w:t>
      </w:r>
      <w:r>
        <w:rPr>
          <w:rFonts w:ascii="仿宋" w:eastAsia="仿宋" w:hAnsi="仿宋" w:cs="仿宋"/>
          <w:sz w:val="32"/>
          <w:szCs w:val="32"/>
        </w:rPr>
        <w:t>20mg</w:t>
      </w:r>
      <w:r>
        <w:rPr>
          <w:rFonts w:ascii="仿宋" w:eastAsia="仿宋" w:hAnsi="仿宋" w:cs="仿宋" w:hint="eastAsia"/>
          <w:sz w:val="32"/>
          <w:szCs w:val="32"/>
        </w:rPr>
        <w:t>、</w:t>
      </w:r>
      <w:r>
        <w:rPr>
          <w:rFonts w:ascii="仿宋" w:eastAsia="仿宋" w:hAnsi="仿宋" w:cs="仿宋"/>
          <w:sz w:val="32"/>
          <w:szCs w:val="32"/>
        </w:rPr>
        <w:t>50mg</w:t>
      </w:r>
      <w:r>
        <w:rPr>
          <w:rFonts w:ascii="仿宋" w:eastAsia="仿宋" w:hAnsi="仿宋" w:cs="仿宋" w:hint="eastAsia"/>
          <w:sz w:val="32"/>
          <w:szCs w:val="32"/>
        </w:rPr>
        <w:t>、</w:t>
      </w:r>
      <w:r>
        <w:rPr>
          <w:rFonts w:ascii="仿宋" w:eastAsia="仿宋" w:hAnsi="仿宋" w:cs="仿宋"/>
          <w:sz w:val="32"/>
          <w:szCs w:val="32"/>
        </w:rPr>
        <w:t>70mg</w:t>
      </w:r>
      <w:r>
        <w:rPr>
          <w:rFonts w:ascii="仿宋" w:eastAsia="仿宋" w:hAnsi="仿宋" w:cs="仿宋" w:hint="eastAsia"/>
          <w:sz w:val="32"/>
          <w:szCs w:val="32"/>
        </w:rPr>
        <w:t>、</w:t>
      </w:r>
      <w:r>
        <w:rPr>
          <w:rFonts w:ascii="仿宋" w:eastAsia="仿宋" w:hAnsi="仿宋" w:cs="仿宋"/>
          <w:sz w:val="32"/>
          <w:szCs w:val="32"/>
        </w:rPr>
        <w:t>100mg</w:t>
      </w:r>
    </w:p>
    <w:p w:rsidR="00B23A40" w:rsidRDefault="00DD1A0D">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rPr>
        <w:t>适应证：</w:t>
      </w:r>
      <w:r>
        <w:rPr>
          <w:rFonts w:ascii="仿宋" w:eastAsia="仿宋" w:hAnsi="仿宋" w:cs="仿宋" w:hint="eastAsia"/>
          <w:sz w:val="32"/>
          <w:szCs w:val="32"/>
        </w:rPr>
        <w:t>对伊马替尼耐药，或不耐受的费城染色体阳性慢性髓细胞白血病慢性期、加速期和急变期（急粒变和急淋变）成年患者。</w:t>
      </w:r>
    </w:p>
    <w:p w:rsidR="00B23A40" w:rsidRDefault="00DD1A0D">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用药前必须明确诊断费城染色体阳性或</w:t>
      </w:r>
      <w:r>
        <w:rPr>
          <w:rFonts w:ascii="仿宋" w:eastAsia="仿宋" w:hAnsi="仿宋" w:cs="仿宋"/>
          <w:sz w:val="32"/>
          <w:szCs w:val="32"/>
        </w:rPr>
        <w:t>BCR-ABL</w:t>
      </w:r>
      <w:r>
        <w:rPr>
          <w:rFonts w:ascii="仿宋" w:eastAsia="仿宋" w:hAnsi="仿宋" w:cs="仿宋" w:hint="eastAsia"/>
          <w:sz w:val="32"/>
          <w:szCs w:val="32"/>
        </w:rPr>
        <w:t>阳性的慢性髓性白血病或急性淋巴细胞白血病。</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应该按照相关疾病指南，治疗前做基线（包括</w:t>
      </w:r>
      <w:r>
        <w:rPr>
          <w:rFonts w:ascii="仿宋" w:eastAsia="仿宋" w:hAnsi="仿宋" w:cs="仿宋"/>
          <w:sz w:val="32"/>
          <w:szCs w:val="32"/>
        </w:rPr>
        <w:t>BCR-ABL</w:t>
      </w:r>
      <w:r>
        <w:rPr>
          <w:rFonts w:ascii="仿宋" w:eastAsia="仿宋" w:hAnsi="仿宋" w:cs="仿宋" w:hint="eastAsia"/>
          <w:sz w:val="32"/>
          <w:szCs w:val="32"/>
        </w:rPr>
        <w:t>突变）评估，治疗期间定期监测血液学、细胞遗传学和分子学反应。</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根据不同疾病种类和分期，选择初始治疗剂量，治疗中根据疗效和不良反应调整剂量。</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常见不良事件为中性粒细胞减少、血小板减少、贫血、胸腔积液、头痛、腹泻、疲劳等，少数有肺动脉高压。</w:t>
      </w:r>
    </w:p>
    <w:p w:rsidR="00B23A40" w:rsidRDefault="00DD1A0D">
      <w:pPr>
        <w:spacing w:line="360" w:lineRule="auto"/>
        <w:ind w:firstLineChars="200" w:firstLine="640"/>
        <w:rPr>
          <w:rFonts w:ascii="仿宋" w:eastAsia="仿宋" w:hAnsi="仿宋" w:cs="仿宋"/>
          <w:sz w:val="32"/>
          <w:szCs w:val="32"/>
        </w:rPr>
      </w:pPr>
      <w:r>
        <w:rPr>
          <w:rFonts w:ascii="仿宋" w:eastAsia="仿宋" w:hAnsi="仿宋" w:cs="仿宋"/>
          <w:sz w:val="32"/>
          <w:szCs w:val="32"/>
        </w:rPr>
        <w:t>5.</w:t>
      </w:r>
      <w:r>
        <w:rPr>
          <w:rFonts w:ascii="仿宋" w:eastAsia="仿宋" w:hAnsi="仿宋" w:cs="仿宋" w:hint="eastAsia"/>
          <w:sz w:val="32"/>
          <w:szCs w:val="32"/>
        </w:rPr>
        <w:t>本品是</w:t>
      </w:r>
      <w:r>
        <w:rPr>
          <w:rFonts w:ascii="仿宋" w:eastAsia="仿宋" w:hAnsi="仿宋" w:cs="仿宋"/>
          <w:sz w:val="32"/>
          <w:szCs w:val="32"/>
        </w:rPr>
        <w:t>CYP3A4</w:t>
      </w:r>
      <w:r>
        <w:rPr>
          <w:rFonts w:ascii="仿宋" w:eastAsia="仿宋" w:hAnsi="仿宋" w:cs="仿宋" w:hint="eastAsia"/>
          <w:sz w:val="32"/>
          <w:szCs w:val="32"/>
        </w:rPr>
        <w:t>的底物，不推荐联合强效的</w:t>
      </w:r>
      <w:r>
        <w:rPr>
          <w:rFonts w:ascii="仿宋" w:eastAsia="仿宋" w:hAnsi="仿宋" w:cs="仿宋"/>
          <w:sz w:val="32"/>
          <w:szCs w:val="32"/>
        </w:rPr>
        <w:t>CYP3A4</w:t>
      </w:r>
      <w:r>
        <w:rPr>
          <w:rFonts w:ascii="仿宋" w:eastAsia="仿宋" w:hAnsi="仿宋" w:cs="仿宋" w:hint="eastAsia"/>
          <w:sz w:val="32"/>
          <w:szCs w:val="32"/>
        </w:rPr>
        <w:t>抑制剂。如果无法避免合并用药，则应对毒性反应进行密切监测。</w:t>
      </w:r>
    </w:p>
    <w:p w:rsidR="00B23A40" w:rsidRDefault="00DD1A0D">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vertAlign w:val="superscript"/>
        </w:rPr>
        <w:t>※</w:t>
      </w:r>
      <w:r>
        <w:rPr>
          <w:rFonts w:ascii="仿宋" w:eastAsia="仿宋" w:hAnsi="仿宋" w:cs="仿宋" w:hint="eastAsia"/>
          <w:sz w:val="32"/>
          <w:szCs w:val="32"/>
        </w:rPr>
        <w:t>6</w:t>
      </w:r>
      <w:r>
        <w:rPr>
          <w:rFonts w:ascii="仿宋" w:eastAsia="仿宋" w:hAnsi="仿宋" w:cs="仿宋"/>
          <w:sz w:val="32"/>
          <w:szCs w:val="32"/>
        </w:rPr>
        <w:t>.</w:t>
      </w:r>
      <w:r>
        <w:rPr>
          <w:rFonts w:ascii="仿宋" w:eastAsia="仿宋" w:hAnsi="仿宋" w:cs="仿宋" w:hint="eastAsia"/>
          <w:sz w:val="32"/>
          <w:szCs w:val="32"/>
        </w:rPr>
        <w:t xml:space="preserve"> 达沙替尼用于成人</w:t>
      </w:r>
      <w:r>
        <w:rPr>
          <w:rFonts w:ascii="仿宋" w:eastAsia="仿宋" w:hAnsi="仿宋" w:cs="仿宋"/>
          <w:sz w:val="32"/>
          <w:szCs w:val="32"/>
        </w:rPr>
        <w:t>Ph+</w:t>
      </w:r>
      <w:r>
        <w:rPr>
          <w:rFonts w:ascii="仿宋" w:eastAsia="仿宋" w:hAnsi="仿宋" w:cs="仿宋" w:hint="eastAsia"/>
          <w:sz w:val="32"/>
          <w:szCs w:val="32"/>
        </w:rPr>
        <w:t>急性淋巴细胞白血病（FDA已批准）。</w:t>
      </w:r>
    </w:p>
    <w:p w:rsidR="00B23A40" w:rsidRDefault="00DD1A0D">
      <w:p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lastRenderedPageBreak/>
        <w:t>三、尼洛替尼 n</w:t>
      </w:r>
      <w:r>
        <w:rPr>
          <w:rFonts w:ascii="黑体" w:eastAsia="黑体" w:hAnsi="黑体" w:cs="黑体"/>
          <w:sz w:val="32"/>
          <w:szCs w:val="32"/>
        </w:rPr>
        <w:t>ilotinib</w:t>
      </w:r>
    </w:p>
    <w:p w:rsidR="00B23A40" w:rsidRDefault="00DD1A0D">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胶囊：</w:t>
      </w:r>
      <w:r>
        <w:rPr>
          <w:rFonts w:ascii="仿宋" w:eastAsia="仿宋" w:hAnsi="仿宋" w:cs="仿宋"/>
          <w:sz w:val="32"/>
          <w:szCs w:val="32"/>
        </w:rPr>
        <w:t>150mg</w:t>
      </w:r>
      <w:r>
        <w:rPr>
          <w:rFonts w:ascii="仿宋" w:eastAsia="仿宋" w:hAnsi="仿宋" w:cs="仿宋" w:hint="eastAsia"/>
          <w:sz w:val="32"/>
          <w:szCs w:val="32"/>
        </w:rPr>
        <w:t>、</w:t>
      </w:r>
      <w:r>
        <w:rPr>
          <w:rFonts w:ascii="仿宋" w:eastAsia="仿宋" w:hAnsi="仿宋" w:cs="仿宋"/>
          <w:sz w:val="32"/>
          <w:szCs w:val="32"/>
        </w:rPr>
        <w:t xml:space="preserve">200mg </w:t>
      </w:r>
    </w:p>
    <w:p w:rsidR="00B23A40" w:rsidRDefault="00DD1A0D">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适应证：</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新诊断的费城染色体阳性的慢性髓性白血病（</w:t>
      </w:r>
      <w:r>
        <w:rPr>
          <w:rFonts w:ascii="仿宋" w:eastAsia="仿宋" w:hAnsi="仿宋" w:cs="仿宋"/>
          <w:sz w:val="32"/>
          <w:szCs w:val="32"/>
        </w:rPr>
        <w:t>Ph+CML</w:t>
      </w:r>
      <w:r>
        <w:rPr>
          <w:rFonts w:ascii="仿宋" w:eastAsia="仿宋" w:hAnsi="仿宋" w:cs="仿宋" w:hint="eastAsia"/>
          <w:sz w:val="32"/>
          <w:szCs w:val="32"/>
        </w:rPr>
        <w:t>）慢性期成人患者。</w:t>
      </w:r>
    </w:p>
    <w:p w:rsidR="00B23A40" w:rsidRDefault="00DD1A0D">
      <w:pPr>
        <w:spacing w:line="360" w:lineRule="auto"/>
        <w:ind w:firstLineChars="200" w:firstLine="640"/>
        <w:rPr>
          <w:rFonts w:ascii="仿宋" w:eastAsia="仿宋" w:hAnsi="仿宋" w:cs="Times New Roman"/>
          <w:b/>
          <w:bCs/>
          <w:sz w:val="32"/>
          <w:szCs w:val="32"/>
        </w:rPr>
      </w:pPr>
      <w:r>
        <w:rPr>
          <w:rFonts w:ascii="仿宋" w:eastAsia="仿宋" w:hAnsi="仿宋" w:cs="仿宋"/>
          <w:sz w:val="32"/>
          <w:szCs w:val="32"/>
        </w:rPr>
        <w:t>2.</w:t>
      </w:r>
      <w:r>
        <w:rPr>
          <w:rFonts w:ascii="仿宋" w:eastAsia="仿宋" w:hAnsi="仿宋" w:cs="仿宋" w:hint="eastAsia"/>
          <w:sz w:val="32"/>
          <w:szCs w:val="32"/>
        </w:rPr>
        <w:t>对既往治疗（包括伊马替尼）耐药或不耐受的费城染色体阳性的</w:t>
      </w:r>
      <w:r>
        <w:rPr>
          <w:rFonts w:ascii="仿宋" w:eastAsia="仿宋" w:hAnsi="仿宋" w:cs="仿宋"/>
          <w:sz w:val="32"/>
          <w:szCs w:val="32"/>
        </w:rPr>
        <w:t>Ph+CML</w:t>
      </w:r>
      <w:r>
        <w:rPr>
          <w:rFonts w:ascii="仿宋" w:eastAsia="仿宋" w:hAnsi="仿宋" w:cs="仿宋" w:hint="eastAsia"/>
          <w:sz w:val="32"/>
          <w:szCs w:val="32"/>
        </w:rPr>
        <w:t>慢性期或加速期成人患者。</w:t>
      </w:r>
    </w:p>
    <w:p w:rsidR="00B23A40" w:rsidRDefault="00DD1A0D">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B23A40" w:rsidRDefault="00DD1A0D">
      <w:pPr>
        <w:spacing w:line="360" w:lineRule="auto"/>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尼洛替尼不可用于低血钾、低血镁或长</w:t>
      </w:r>
      <w:r>
        <w:rPr>
          <w:rFonts w:ascii="仿宋" w:eastAsia="仿宋" w:hAnsi="仿宋" w:cs="仿宋"/>
          <w:sz w:val="32"/>
          <w:szCs w:val="32"/>
        </w:rPr>
        <w:t>QT</w:t>
      </w:r>
      <w:r>
        <w:rPr>
          <w:rFonts w:ascii="仿宋" w:eastAsia="仿宋" w:hAnsi="仿宋" w:cs="仿宋" w:hint="eastAsia"/>
          <w:sz w:val="32"/>
          <w:szCs w:val="32"/>
        </w:rPr>
        <w:t>综合征的患者。在使用尼洛替尼以前必须纠正低钾和低镁，并定期进行监测。</w:t>
      </w:r>
    </w:p>
    <w:p w:rsidR="00B23A40" w:rsidRDefault="00DD1A0D">
      <w:pPr>
        <w:spacing w:line="360" w:lineRule="auto"/>
        <w:ind w:firstLineChars="200" w:firstLine="640"/>
        <w:rPr>
          <w:rFonts w:ascii="仿宋" w:eastAsia="仿宋" w:hAnsi="仿宋" w:cs="Times New Roman"/>
          <w:b/>
          <w:bCs/>
          <w:sz w:val="32"/>
          <w:szCs w:val="32"/>
        </w:rPr>
      </w:pPr>
      <w:r>
        <w:rPr>
          <w:rFonts w:ascii="仿宋" w:eastAsia="仿宋" w:hAnsi="仿宋" w:cs="Times New Roman" w:hint="eastAsia"/>
          <w:sz w:val="32"/>
          <w:szCs w:val="32"/>
        </w:rPr>
        <w:t>2.</w:t>
      </w:r>
      <w:r>
        <w:rPr>
          <w:rFonts w:ascii="仿宋" w:eastAsia="仿宋" w:hAnsi="仿宋" w:cs="仿宋" w:hint="eastAsia"/>
          <w:sz w:val="32"/>
          <w:szCs w:val="32"/>
        </w:rPr>
        <w:t>常见不良事件为中性粒细胞减少、血小板减少、贫血、食欲减退、皮疹、肌肉关节痛等。</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3</w:t>
      </w:r>
      <w:r>
        <w:rPr>
          <w:rFonts w:ascii="仿宋" w:eastAsia="仿宋" w:hAnsi="仿宋" w:cs="仿宋"/>
          <w:sz w:val="32"/>
          <w:szCs w:val="32"/>
        </w:rPr>
        <w:t>.</w:t>
      </w:r>
      <w:r>
        <w:rPr>
          <w:rFonts w:ascii="仿宋" w:eastAsia="仿宋" w:hAnsi="仿宋" w:cs="仿宋" w:hint="eastAsia"/>
          <w:sz w:val="32"/>
          <w:szCs w:val="32"/>
        </w:rPr>
        <w:t>避免联合可延长</w:t>
      </w:r>
      <w:r>
        <w:rPr>
          <w:rFonts w:ascii="仿宋" w:eastAsia="仿宋" w:hAnsi="仿宋" w:cs="仿宋"/>
          <w:sz w:val="32"/>
          <w:szCs w:val="32"/>
        </w:rPr>
        <w:t>QT</w:t>
      </w:r>
      <w:r>
        <w:rPr>
          <w:rFonts w:ascii="仿宋" w:eastAsia="仿宋" w:hAnsi="仿宋" w:cs="仿宋" w:hint="eastAsia"/>
          <w:sz w:val="32"/>
          <w:szCs w:val="32"/>
        </w:rPr>
        <w:t>间期的药物和</w:t>
      </w:r>
      <w:r>
        <w:rPr>
          <w:rFonts w:ascii="仿宋" w:eastAsia="仿宋" w:hAnsi="仿宋" w:cs="仿宋"/>
          <w:sz w:val="32"/>
          <w:szCs w:val="32"/>
        </w:rPr>
        <w:t>CYP3A4</w:t>
      </w:r>
      <w:r>
        <w:rPr>
          <w:rFonts w:ascii="仿宋" w:eastAsia="仿宋" w:hAnsi="仿宋" w:cs="仿宋" w:hint="eastAsia"/>
          <w:sz w:val="32"/>
          <w:szCs w:val="32"/>
        </w:rPr>
        <w:t>的强效抑制剂。</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4</w:t>
      </w:r>
      <w:r>
        <w:rPr>
          <w:rFonts w:ascii="仿宋" w:eastAsia="仿宋" w:hAnsi="仿宋" w:cs="仿宋"/>
          <w:sz w:val="32"/>
          <w:szCs w:val="32"/>
        </w:rPr>
        <w:t>.</w:t>
      </w:r>
      <w:r>
        <w:rPr>
          <w:rFonts w:ascii="仿宋" w:eastAsia="仿宋" w:hAnsi="仿宋" w:cs="仿宋" w:hint="eastAsia"/>
          <w:sz w:val="32"/>
          <w:szCs w:val="32"/>
        </w:rPr>
        <w:t>有肝功能损伤的患者建议减量。</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5</w:t>
      </w:r>
      <w:r>
        <w:rPr>
          <w:rFonts w:ascii="仿宋" w:eastAsia="仿宋" w:hAnsi="仿宋" w:cs="仿宋"/>
          <w:sz w:val="32"/>
          <w:szCs w:val="32"/>
        </w:rPr>
        <w:t>.</w:t>
      </w:r>
      <w:r>
        <w:rPr>
          <w:rFonts w:ascii="仿宋" w:eastAsia="仿宋" w:hAnsi="仿宋" w:cs="仿宋" w:hint="eastAsia"/>
          <w:sz w:val="32"/>
          <w:szCs w:val="32"/>
        </w:rPr>
        <w:t>在开始给药前、开始给药后</w:t>
      </w:r>
      <w:r>
        <w:rPr>
          <w:rFonts w:ascii="仿宋" w:eastAsia="仿宋" w:hAnsi="仿宋" w:cs="仿宋"/>
          <w:sz w:val="32"/>
          <w:szCs w:val="32"/>
        </w:rPr>
        <w:t>7</w:t>
      </w:r>
      <w:r>
        <w:rPr>
          <w:rFonts w:ascii="仿宋" w:eastAsia="仿宋" w:hAnsi="仿宋" w:cs="仿宋" w:hint="eastAsia"/>
          <w:sz w:val="32"/>
          <w:szCs w:val="32"/>
        </w:rPr>
        <w:t>天以及之后时间里定期进行心电图检查以监测</w:t>
      </w:r>
      <w:r>
        <w:rPr>
          <w:rFonts w:ascii="仿宋" w:eastAsia="仿宋" w:hAnsi="仿宋" w:cs="仿宋"/>
          <w:sz w:val="32"/>
          <w:szCs w:val="32"/>
        </w:rPr>
        <w:t>QTc</w:t>
      </w:r>
      <w:r>
        <w:rPr>
          <w:rFonts w:ascii="仿宋" w:eastAsia="仿宋" w:hAnsi="仿宋" w:cs="仿宋" w:hint="eastAsia"/>
          <w:sz w:val="32"/>
          <w:szCs w:val="32"/>
        </w:rPr>
        <w:t>，并且在任何进行剂量调整时也应如此。</w:t>
      </w:r>
    </w:p>
    <w:p w:rsidR="00B23A40" w:rsidRDefault="00DD1A0D">
      <w:p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 xml:space="preserve">四、伊布替尼 </w:t>
      </w:r>
      <w:r>
        <w:rPr>
          <w:rFonts w:ascii="黑体" w:eastAsia="黑体" w:hAnsi="黑体" w:cs="黑体"/>
          <w:sz w:val="32"/>
          <w:szCs w:val="32"/>
        </w:rPr>
        <w:t>ibrutinib</w:t>
      </w:r>
    </w:p>
    <w:p w:rsidR="00B23A40" w:rsidRDefault="00DD1A0D">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胶囊：</w:t>
      </w:r>
      <w:r>
        <w:rPr>
          <w:rFonts w:ascii="仿宋" w:eastAsia="仿宋" w:hAnsi="仿宋" w:cs="仿宋"/>
          <w:sz w:val="32"/>
          <w:szCs w:val="32"/>
        </w:rPr>
        <w:t xml:space="preserve">140mg </w:t>
      </w:r>
    </w:p>
    <w:p w:rsidR="00B23A40" w:rsidRDefault="00DD1A0D">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适应证：</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lastRenderedPageBreak/>
        <w:t>1.</w:t>
      </w:r>
      <w:r>
        <w:rPr>
          <w:rFonts w:ascii="仿宋" w:eastAsia="仿宋" w:hAnsi="仿宋" w:cs="仿宋" w:hint="eastAsia"/>
          <w:sz w:val="32"/>
          <w:szCs w:val="32"/>
        </w:rPr>
        <w:t>单药适用于既往至少接受过一种治疗的套细胞淋巴瘤患者的治疗。</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单药治疗初治及复发的慢性淋巴细胞白血病</w:t>
      </w:r>
      <w:r>
        <w:rPr>
          <w:rFonts w:ascii="仿宋" w:eastAsia="仿宋" w:hAnsi="仿宋" w:cs="仿宋"/>
          <w:sz w:val="32"/>
          <w:szCs w:val="32"/>
        </w:rPr>
        <w:t>/</w:t>
      </w:r>
      <w:r>
        <w:rPr>
          <w:rFonts w:ascii="仿宋" w:eastAsia="仿宋" w:hAnsi="仿宋" w:cs="仿宋" w:hint="eastAsia"/>
          <w:sz w:val="32"/>
          <w:szCs w:val="32"/>
        </w:rPr>
        <w:t>小淋巴细胞淋巴瘤患者的治疗。</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单药或与利妥昔单抗联合治疗初治及复发的华氏巨球蛋白血症。</w:t>
      </w:r>
    </w:p>
    <w:p w:rsidR="00B23A40" w:rsidRDefault="00DD1A0D">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B23A40" w:rsidRDefault="00DD1A0D">
      <w:pPr>
        <w:spacing w:line="360" w:lineRule="auto"/>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伊布替尼用于CLL治疗前，应进行严格临床评估，如果患者有明确del(17p)，优选伊布替尼治疗。</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2.用药前必须明确诊断套细胞淋巴瘤或慢性淋巴细胞白血病或华氏巨球蛋白血症，根据诊断不同，治疗剂量不同。</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3</w:t>
      </w:r>
      <w:r>
        <w:rPr>
          <w:rFonts w:ascii="仿宋" w:eastAsia="仿宋" w:hAnsi="仿宋" w:cs="仿宋"/>
          <w:sz w:val="32"/>
          <w:szCs w:val="32"/>
        </w:rPr>
        <w:t>.</w:t>
      </w:r>
      <w:r>
        <w:rPr>
          <w:rFonts w:ascii="仿宋" w:eastAsia="仿宋" w:hAnsi="仿宋" w:cs="仿宋" w:hint="eastAsia"/>
          <w:sz w:val="32"/>
          <w:szCs w:val="32"/>
        </w:rPr>
        <w:t>应该按照相关疾病指南，治疗前做基线评估，治疗期间定期监测治疗反应及毒性。</w:t>
      </w:r>
    </w:p>
    <w:p w:rsidR="00B23A40" w:rsidRDefault="00DD1A0D">
      <w:pPr>
        <w:spacing w:line="360" w:lineRule="auto"/>
        <w:ind w:firstLineChars="200" w:firstLine="640"/>
        <w:rPr>
          <w:rFonts w:ascii="仿宋" w:eastAsia="仿宋" w:hAnsi="仿宋" w:cs="Times New Roman"/>
          <w:color w:val="000000"/>
          <w:sz w:val="32"/>
          <w:szCs w:val="32"/>
        </w:rPr>
      </w:pPr>
      <w:r>
        <w:rPr>
          <w:rFonts w:ascii="仿宋" w:eastAsia="仿宋" w:hAnsi="仿宋" w:cs="仿宋" w:hint="eastAsia"/>
          <w:sz w:val="32"/>
          <w:szCs w:val="32"/>
        </w:rPr>
        <w:t>4</w:t>
      </w:r>
      <w:r>
        <w:rPr>
          <w:rFonts w:ascii="仿宋" w:eastAsia="仿宋" w:hAnsi="仿宋" w:cs="仿宋"/>
          <w:sz w:val="32"/>
          <w:szCs w:val="32"/>
        </w:rPr>
        <w:t>.</w:t>
      </w:r>
      <w:r>
        <w:rPr>
          <w:rFonts w:ascii="仿宋" w:eastAsia="仿宋" w:hAnsi="仿宋" w:cs="仿宋" w:hint="eastAsia"/>
          <w:sz w:val="32"/>
          <w:szCs w:val="32"/>
        </w:rPr>
        <w:t>治疗</w:t>
      </w:r>
      <w:r>
        <w:rPr>
          <w:rFonts w:ascii="仿宋" w:eastAsia="仿宋" w:hAnsi="仿宋" w:cs="仿宋"/>
          <w:sz w:val="32"/>
          <w:szCs w:val="32"/>
        </w:rPr>
        <w:t>MCL</w:t>
      </w:r>
      <w:r>
        <w:rPr>
          <w:rFonts w:ascii="仿宋" w:eastAsia="仿宋" w:hAnsi="仿宋" w:cs="仿宋" w:hint="eastAsia"/>
          <w:sz w:val="32"/>
          <w:szCs w:val="32"/>
        </w:rPr>
        <w:t>的推荐剂量为</w:t>
      </w:r>
      <w:r>
        <w:rPr>
          <w:rFonts w:ascii="仿宋" w:eastAsia="仿宋" w:hAnsi="仿宋" w:cs="仿宋"/>
          <w:sz w:val="32"/>
          <w:szCs w:val="32"/>
        </w:rPr>
        <w:t>560mg</w:t>
      </w:r>
      <w:r>
        <w:rPr>
          <w:rFonts w:ascii="仿宋" w:eastAsia="仿宋" w:hAnsi="仿宋" w:cs="仿宋" w:hint="eastAsia"/>
          <w:sz w:val="32"/>
          <w:szCs w:val="32"/>
        </w:rPr>
        <w:t>，每日一次直至疾病进展或出现不可接受的毒性；</w:t>
      </w:r>
      <w:r>
        <w:rPr>
          <w:rFonts w:ascii="仿宋" w:eastAsia="仿宋" w:hAnsi="仿宋" w:cs="仿宋" w:hint="eastAsia"/>
          <w:color w:val="000000"/>
          <w:sz w:val="32"/>
          <w:szCs w:val="32"/>
        </w:rPr>
        <w:t>治疗</w:t>
      </w:r>
      <w:r>
        <w:rPr>
          <w:rFonts w:ascii="仿宋" w:eastAsia="仿宋" w:hAnsi="仿宋" w:cs="仿宋"/>
          <w:color w:val="000000"/>
          <w:sz w:val="32"/>
          <w:szCs w:val="32"/>
        </w:rPr>
        <w:t>CLL/SLL</w:t>
      </w:r>
      <w:r>
        <w:rPr>
          <w:rFonts w:ascii="仿宋" w:eastAsia="仿宋" w:hAnsi="仿宋" w:cs="仿宋" w:hint="eastAsia"/>
          <w:color w:val="000000"/>
          <w:sz w:val="32"/>
          <w:szCs w:val="32"/>
        </w:rPr>
        <w:t>和</w:t>
      </w:r>
      <w:r>
        <w:rPr>
          <w:rFonts w:ascii="仿宋" w:eastAsia="仿宋" w:hAnsi="仿宋" w:cs="仿宋" w:hint="eastAsia"/>
          <w:sz w:val="32"/>
          <w:szCs w:val="32"/>
        </w:rPr>
        <w:t>华氏巨球蛋白血症</w:t>
      </w:r>
      <w:r>
        <w:rPr>
          <w:rFonts w:ascii="仿宋" w:eastAsia="仿宋" w:hAnsi="仿宋" w:cs="仿宋" w:hint="eastAsia"/>
          <w:color w:val="000000"/>
          <w:sz w:val="32"/>
          <w:szCs w:val="32"/>
        </w:rPr>
        <w:t>的推荐剂量为</w:t>
      </w:r>
      <w:r>
        <w:rPr>
          <w:rFonts w:ascii="仿宋" w:eastAsia="仿宋" w:hAnsi="仿宋" w:cs="仿宋"/>
          <w:color w:val="000000"/>
          <w:sz w:val="32"/>
          <w:szCs w:val="32"/>
        </w:rPr>
        <w:t>420mg</w:t>
      </w:r>
      <w:r>
        <w:rPr>
          <w:rFonts w:ascii="仿宋" w:eastAsia="仿宋" w:hAnsi="仿宋" w:cs="仿宋" w:hint="eastAsia"/>
          <w:color w:val="000000"/>
          <w:sz w:val="32"/>
          <w:szCs w:val="32"/>
        </w:rPr>
        <w:t>，每日一次直至疾病进展或出现不可接受的毒性。</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5</w:t>
      </w:r>
      <w:r>
        <w:rPr>
          <w:rFonts w:ascii="仿宋" w:eastAsia="仿宋" w:hAnsi="仿宋" w:cs="仿宋"/>
          <w:sz w:val="32"/>
          <w:szCs w:val="32"/>
        </w:rPr>
        <w:t>.</w:t>
      </w:r>
      <w:r>
        <w:rPr>
          <w:rFonts w:ascii="仿宋" w:eastAsia="仿宋" w:hAnsi="仿宋" w:cs="仿宋" w:hint="eastAsia"/>
          <w:color w:val="000000"/>
          <w:sz w:val="32"/>
          <w:szCs w:val="32"/>
        </w:rPr>
        <w:t>轻度肝功能损伤患者（</w:t>
      </w:r>
      <w:r>
        <w:rPr>
          <w:rFonts w:ascii="仿宋" w:eastAsia="仿宋" w:hAnsi="仿宋" w:cs="仿宋"/>
          <w:color w:val="000000"/>
          <w:sz w:val="32"/>
          <w:szCs w:val="32"/>
        </w:rPr>
        <w:t>Child-Pugh A</w:t>
      </w:r>
      <w:r>
        <w:rPr>
          <w:rFonts w:ascii="仿宋" w:eastAsia="仿宋" w:hAnsi="仿宋" w:cs="仿宋" w:hint="eastAsia"/>
          <w:color w:val="000000"/>
          <w:sz w:val="32"/>
          <w:szCs w:val="32"/>
        </w:rPr>
        <w:t>级）的推荐剂量是每天</w:t>
      </w:r>
      <w:r>
        <w:rPr>
          <w:rFonts w:ascii="仿宋" w:eastAsia="仿宋" w:hAnsi="仿宋" w:cs="仿宋"/>
          <w:color w:val="000000"/>
          <w:sz w:val="32"/>
          <w:szCs w:val="32"/>
        </w:rPr>
        <w:t>140mg</w:t>
      </w:r>
      <w:r>
        <w:rPr>
          <w:rFonts w:ascii="仿宋" w:eastAsia="仿宋" w:hAnsi="仿宋" w:cs="仿宋" w:hint="eastAsia"/>
          <w:color w:val="000000"/>
          <w:sz w:val="32"/>
          <w:szCs w:val="32"/>
        </w:rPr>
        <w:t>。中度或重度肝功能损伤患者（</w:t>
      </w:r>
      <w:r>
        <w:rPr>
          <w:rFonts w:ascii="仿宋" w:eastAsia="仿宋" w:hAnsi="仿宋" w:cs="仿宋"/>
          <w:color w:val="000000"/>
          <w:sz w:val="32"/>
          <w:szCs w:val="32"/>
        </w:rPr>
        <w:t>Child-Pugh B</w:t>
      </w:r>
      <w:r>
        <w:rPr>
          <w:rFonts w:ascii="仿宋" w:eastAsia="仿宋" w:hAnsi="仿宋" w:cs="仿宋" w:hint="eastAsia"/>
          <w:color w:val="000000"/>
          <w:sz w:val="32"/>
          <w:szCs w:val="32"/>
        </w:rPr>
        <w:t>级和</w:t>
      </w:r>
      <w:r>
        <w:rPr>
          <w:rFonts w:ascii="仿宋" w:eastAsia="仿宋" w:hAnsi="仿宋" w:cs="仿宋"/>
          <w:color w:val="000000"/>
          <w:sz w:val="32"/>
          <w:szCs w:val="32"/>
        </w:rPr>
        <w:t>C</w:t>
      </w:r>
      <w:r>
        <w:rPr>
          <w:rFonts w:ascii="仿宋" w:eastAsia="仿宋" w:hAnsi="仿宋" w:cs="仿宋" w:hint="eastAsia"/>
          <w:color w:val="000000"/>
          <w:sz w:val="32"/>
          <w:szCs w:val="32"/>
        </w:rPr>
        <w:t>级）应避免使用。</w:t>
      </w:r>
    </w:p>
    <w:p w:rsidR="00B23A40" w:rsidRDefault="00DD1A0D">
      <w:pPr>
        <w:spacing w:line="360" w:lineRule="auto"/>
        <w:ind w:firstLineChars="200" w:firstLine="640"/>
        <w:rPr>
          <w:rFonts w:ascii="仿宋" w:eastAsia="仿宋" w:hAnsi="仿宋" w:cs="Times New Roman"/>
          <w:color w:val="000000"/>
          <w:sz w:val="32"/>
          <w:szCs w:val="32"/>
        </w:rPr>
      </w:pPr>
      <w:r>
        <w:rPr>
          <w:rFonts w:ascii="仿宋" w:eastAsia="仿宋" w:hAnsi="仿宋" w:cs="仿宋" w:hint="eastAsia"/>
          <w:color w:val="000000"/>
          <w:sz w:val="32"/>
          <w:szCs w:val="32"/>
        </w:rPr>
        <w:t>6</w:t>
      </w:r>
      <w:r>
        <w:rPr>
          <w:rFonts w:ascii="仿宋" w:eastAsia="仿宋" w:hAnsi="仿宋" w:cs="仿宋"/>
          <w:color w:val="000000"/>
          <w:sz w:val="32"/>
          <w:szCs w:val="32"/>
        </w:rPr>
        <w:t>.</w:t>
      </w:r>
      <w:r>
        <w:rPr>
          <w:rFonts w:ascii="仿宋" w:eastAsia="仿宋" w:hAnsi="仿宋" w:cs="仿宋" w:hint="eastAsia"/>
          <w:color w:val="000000"/>
          <w:sz w:val="32"/>
          <w:szCs w:val="32"/>
        </w:rPr>
        <w:t>口服给药，每日一次，每天的用药时间大致固定。应用水送服整粒胶囊。请勿打开、弄破或咀嚼胶囊。如果未在</w:t>
      </w:r>
      <w:r>
        <w:rPr>
          <w:rFonts w:ascii="仿宋" w:eastAsia="仿宋" w:hAnsi="仿宋" w:cs="仿宋" w:hint="eastAsia"/>
          <w:color w:val="000000"/>
          <w:sz w:val="32"/>
          <w:szCs w:val="32"/>
        </w:rPr>
        <w:lastRenderedPageBreak/>
        <w:t>计划时间服用本品，可以在当天尽快服用，第二天继续在正常计划时间服药。请勿额外服用本品以弥补漏服剂量。</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hint="eastAsia"/>
          <w:color w:val="000000"/>
          <w:sz w:val="32"/>
          <w:szCs w:val="32"/>
        </w:rPr>
        <w:t>7</w:t>
      </w:r>
      <w:r>
        <w:rPr>
          <w:rFonts w:ascii="仿宋" w:eastAsia="仿宋" w:hAnsi="仿宋" w:cs="仿宋"/>
          <w:color w:val="000000"/>
          <w:sz w:val="32"/>
          <w:szCs w:val="32"/>
        </w:rPr>
        <w:t>.</w:t>
      </w:r>
      <w:r>
        <w:rPr>
          <w:rFonts w:ascii="仿宋" w:eastAsia="仿宋" w:hAnsi="仿宋" w:cs="仿宋" w:hint="eastAsia"/>
          <w:color w:val="000000"/>
          <w:sz w:val="32"/>
          <w:szCs w:val="32"/>
        </w:rPr>
        <w:t>出现任何≥</w:t>
      </w:r>
      <w:r>
        <w:rPr>
          <w:rFonts w:ascii="仿宋" w:eastAsia="仿宋" w:hAnsi="仿宋" w:cs="仿宋"/>
          <w:color w:val="000000"/>
          <w:sz w:val="32"/>
          <w:szCs w:val="32"/>
        </w:rPr>
        <w:t>3</w:t>
      </w:r>
      <w:r>
        <w:rPr>
          <w:rFonts w:ascii="仿宋" w:eastAsia="仿宋" w:hAnsi="仿宋" w:cs="仿宋" w:hint="eastAsia"/>
          <w:color w:val="000000"/>
          <w:sz w:val="32"/>
          <w:szCs w:val="32"/>
        </w:rPr>
        <w:t>级非血液学毒性、≥</w:t>
      </w:r>
      <w:r>
        <w:rPr>
          <w:rFonts w:ascii="仿宋" w:eastAsia="仿宋" w:hAnsi="仿宋" w:cs="仿宋"/>
          <w:color w:val="000000"/>
          <w:sz w:val="32"/>
          <w:szCs w:val="32"/>
        </w:rPr>
        <w:t>3</w:t>
      </w:r>
      <w:r>
        <w:rPr>
          <w:rFonts w:ascii="仿宋" w:eastAsia="仿宋" w:hAnsi="仿宋" w:cs="仿宋" w:hint="eastAsia"/>
          <w:color w:val="000000"/>
          <w:sz w:val="32"/>
          <w:szCs w:val="32"/>
        </w:rPr>
        <w:t>级伴感染或发热的中性粒细胞减少症或者</w:t>
      </w:r>
      <w:r>
        <w:rPr>
          <w:rFonts w:ascii="仿宋" w:eastAsia="仿宋" w:hAnsi="仿宋" w:cs="仿宋"/>
          <w:color w:val="000000"/>
          <w:sz w:val="32"/>
          <w:szCs w:val="32"/>
        </w:rPr>
        <w:t>4</w:t>
      </w:r>
      <w:r>
        <w:rPr>
          <w:rFonts w:ascii="仿宋" w:eastAsia="仿宋" w:hAnsi="仿宋" w:cs="仿宋" w:hint="eastAsia"/>
          <w:color w:val="000000"/>
          <w:sz w:val="32"/>
          <w:szCs w:val="32"/>
        </w:rPr>
        <w:t>级血液学毒性时，应中断治疗。待毒性症状消退至</w:t>
      </w:r>
      <w:r>
        <w:rPr>
          <w:rFonts w:ascii="仿宋" w:eastAsia="仿宋" w:hAnsi="仿宋" w:cs="仿宋"/>
          <w:color w:val="000000"/>
          <w:sz w:val="32"/>
          <w:szCs w:val="32"/>
        </w:rPr>
        <w:t>1</w:t>
      </w:r>
      <w:r>
        <w:rPr>
          <w:rFonts w:ascii="仿宋" w:eastAsia="仿宋" w:hAnsi="仿宋" w:cs="仿宋" w:hint="eastAsia"/>
          <w:color w:val="000000"/>
          <w:sz w:val="32"/>
          <w:szCs w:val="32"/>
        </w:rPr>
        <w:t>级或基线水平（恢复）时，可以起始剂量重新开始治疗。如果该毒性再次发生，应将剂量减少</w:t>
      </w:r>
      <w:r>
        <w:rPr>
          <w:rFonts w:ascii="仿宋" w:eastAsia="仿宋" w:hAnsi="仿宋" w:cs="仿宋"/>
          <w:color w:val="000000"/>
          <w:sz w:val="32"/>
          <w:szCs w:val="32"/>
        </w:rPr>
        <w:t>140mg</w:t>
      </w:r>
      <w:r w:rsidR="00985C52">
        <w:rPr>
          <w:rFonts w:ascii="仿宋" w:eastAsia="仿宋" w:hAnsi="仿宋" w:cs="仿宋"/>
          <w:color w:val="000000"/>
          <w:sz w:val="32"/>
          <w:szCs w:val="32"/>
        </w:rPr>
        <w:t>，</w:t>
      </w:r>
      <w:r>
        <w:rPr>
          <w:rFonts w:ascii="仿宋" w:eastAsia="仿宋" w:hAnsi="仿宋" w:cs="仿宋" w:hint="eastAsia"/>
          <w:color w:val="000000"/>
          <w:sz w:val="32"/>
          <w:szCs w:val="32"/>
        </w:rPr>
        <w:t>如有需要，可以考虑再减少</w:t>
      </w:r>
      <w:r>
        <w:rPr>
          <w:rFonts w:ascii="仿宋" w:eastAsia="仿宋" w:hAnsi="仿宋" w:cs="仿宋"/>
          <w:color w:val="000000"/>
          <w:sz w:val="32"/>
          <w:szCs w:val="32"/>
        </w:rPr>
        <w:t>140mg</w:t>
      </w:r>
      <w:r>
        <w:rPr>
          <w:rFonts w:ascii="仿宋" w:eastAsia="仿宋" w:hAnsi="仿宋" w:cs="仿宋" w:hint="eastAsia"/>
          <w:color w:val="000000"/>
          <w:sz w:val="32"/>
          <w:szCs w:val="32"/>
        </w:rPr>
        <w:t>。如果在两次剂量降低后该毒性仍然存在或再次发生，应停用。</w:t>
      </w:r>
    </w:p>
    <w:p w:rsidR="00B23A40" w:rsidRDefault="00DD1A0D">
      <w:pPr>
        <w:spacing w:line="360" w:lineRule="auto"/>
        <w:ind w:firstLineChars="200" w:firstLine="640"/>
        <w:rPr>
          <w:rFonts w:ascii="仿宋" w:eastAsia="仿宋" w:hAnsi="仿宋" w:cs="Times New Roman"/>
          <w:color w:val="000000"/>
          <w:sz w:val="32"/>
          <w:szCs w:val="32"/>
        </w:rPr>
      </w:pPr>
      <w:r>
        <w:rPr>
          <w:rFonts w:ascii="仿宋" w:eastAsia="仿宋" w:hAnsi="仿宋" w:cs="仿宋" w:hint="eastAsia"/>
          <w:sz w:val="32"/>
          <w:szCs w:val="32"/>
        </w:rPr>
        <w:t>8</w:t>
      </w:r>
      <w:r>
        <w:rPr>
          <w:rFonts w:ascii="仿宋" w:eastAsia="仿宋" w:hAnsi="仿宋" w:cs="仿宋"/>
          <w:sz w:val="32"/>
          <w:szCs w:val="32"/>
        </w:rPr>
        <w:t>.</w:t>
      </w:r>
      <w:r>
        <w:rPr>
          <w:rFonts w:ascii="仿宋" w:eastAsia="仿宋" w:hAnsi="仿宋" w:cs="仿宋" w:hint="eastAsia"/>
          <w:sz w:val="32"/>
          <w:szCs w:val="32"/>
        </w:rPr>
        <w:t>接受本药治疗的</w:t>
      </w:r>
      <w:r>
        <w:rPr>
          <w:rFonts w:ascii="仿宋" w:eastAsia="仿宋" w:hAnsi="仿宋" w:cs="仿宋"/>
          <w:color w:val="000000"/>
          <w:sz w:val="32"/>
          <w:szCs w:val="32"/>
        </w:rPr>
        <w:t>MCL</w:t>
      </w:r>
      <w:r>
        <w:rPr>
          <w:rFonts w:ascii="仿宋" w:eastAsia="仿宋" w:hAnsi="仿宋" w:cs="仿宋" w:hint="eastAsia"/>
          <w:color w:val="000000"/>
          <w:sz w:val="32"/>
          <w:szCs w:val="32"/>
        </w:rPr>
        <w:t>患者最常发生的不良反应（≥</w:t>
      </w:r>
      <w:r>
        <w:rPr>
          <w:rFonts w:ascii="仿宋" w:eastAsia="仿宋" w:hAnsi="仿宋" w:cs="仿宋"/>
          <w:color w:val="000000"/>
          <w:sz w:val="32"/>
          <w:szCs w:val="32"/>
        </w:rPr>
        <w:t>20%</w:t>
      </w:r>
      <w:r>
        <w:rPr>
          <w:rFonts w:ascii="仿宋" w:eastAsia="仿宋" w:hAnsi="仿宋" w:cs="仿宋" w:hint="eastAsia"/>
          <w:color w:val="000000"/>
          <w:sz w:val="32"/>
          <w:szCs w:val="32"/>
        </w:rPr>
        <w:t>）是腹泻、出血（如青肿）、疲乏、骨骼肌肉疼痛、恶心、上呼吸道感染、咳嗽和皮疹。最常见的</w:t>
      </w:r>
      <w:r>
        <w:rPr>
          <w:rFonts w:ascii="仿宋" w:eastAsia="仿宋" w:hAnsi="仿宋" w:cs="仿宋"/>
          <w:color w:val="000000"/>
          <w:sz w:val="32"/>
          <w:szCs w:val="32"/>
        </w:rPr>
        <w:t>3</w:t>
      </w:r>
      <w:r>
        <w:rPr>
          <w:rFonts w:ascii="仿宋" w:eastAsia="仿宋" w:hAnsi="仿宋" w:cs="仿宋" w:hint="eastAsia"/>
          <w:color w:val="000000"/>
          <w:sz w:val="32"/>
          <w:szCs w:val="32"/>
        </w:rPr>
        <w:t>级或</w:t>
      </w:r>
      <w:r>
        <w:rPr>
          <w:rFonts w:ascii="仿宋" w:eastAsia="仿宋" w:hAnsi="仿宋" w:cs="仿宋"/>
          <w:color w:val="000000"/>
          <w:sz w:val="32"/>
          <w:szCs w:val="32"/>
        </w:rPr>
        <w:t>4</w:t>
      </w:r>
      <w:r>
        <w:rPr>
          <w:rFonts w:ascii="仿宋" w:eastAsia="仿宋" w:hAnsi="仿宋" w:cs="仿宋" w:hint="eastAsia"/>
          <w:color w:val="000000"/>
          <w:sz w:val="32"/>
          <w:szCs w:val="32"/>
        </w:rPr>
        <w:t>级不良反应（≥</w:t>
      </w:r>
      <w:r>
        <w:rPr>
          <w:rFonts w:ascii="仿宋" w:eastAsia="仿宋" w:hAnsi="仿宋" w:cs="仿宋"/>
          <w:color w:val="000000"/>
          <w:sz w:val="32"/>
          <w:szCs w:val="32"/>
        </w:rPr>
        <w:t>5%</w:t>
      </w:r>
      <w:r>
        <w:rPr>
          <w:rFonts w:ascii="仿宋" w:eastAsia="仿宋" w:hAnsi="仿宋" w:cs="仿宋" w:hint="eastAsia"/>
          <w:color w:val="000000"/>
          <w:sz w:val="32"/>
          <w:szCs w:val="32"/>
        </w:rPr>
        <w:t>）是中性粒细胞减少症、血小板减少症、感染性肺炎和贫血。接受本药治疗的</w:t>
      </w:r>
      <w:r>
        <w:rPr>
          <w:rFonts w:ascii="仿宋" w:eastAsia="仿宋" w:hAnsi="仿宋" w:cs="仿宋"/>
          <w:color w:val="000000"/>
          <w:sz w:val="32"/>
          <w:szCs w:val="32"/>
        </w:rPr>
        <w:t>CLL</w:t>
      </w:r>
      <w:r>
        <w:rPr>
          <w:rFonts w:ascii="仿宋" w:eastAsia="仿宋" w:hAnsi="仿宋" w:cs="仿宋" w:hint="eastAsia"/>
          <w:color w:val="000000"/>
          <w:sz w:val="32"/>
          <w:szCs w:val="32"/>
        </w:rPr>
        <w:t>或</w:t>
      </w:r>
      <w:r>
        <w:rPr>
          <w:rFonts w:ascii="仿宋" w:eastAsia="仿宋" w:hAnsi="仿宋" w:cs="仿宋"/>
          <w:color w:val="000000"/>
          <w:sz w:val="32"/>
          <w:szCs w:val="32"/>
        </w:rPr>
        <w:t>SLL</w:t>
      </w:r>
      <w:r>
        <w:rPr>
          <w:rFonts w:ascii="仿宋" w:eastAsia="仿宋" w:hAnsi="仿宋" w:cs="仿宋" w:hint="eastAsia"/>
          <w:color w:val="000000"/>
          <w:sz w:val="32"/>
          <w:szCs w:val="32"/>
        </w:rPr>
        <w:t>患者最常发生的不良反应（≥</w:t>
      </w:r>
      <w:r>
        <w:rPr>
          <w:rFonts w:ascii="仿宋" w:eastAsia="仿宋" w:hAnsi="仿宋" w:cs="仿宋"/>
          <w:color w:val="000000"/>
          <w:sz w:val="32"/>
          <w:szCs w:val="32"/>
        </w:rPr>
        <w:t>20%</w:t>
      </w:r>
      <w:r>
        <w:rPr>
          <w:rFonts w:ascii="仿宋" w:eastAsia="仿宋" w:hAnsi="仿宋" w:cs="仿宋" w:hint="eastAsia"/>
          <w:color w:val="000000"/>
          <w:sz w:val="32"/>
          <w:szCs w:val="32"/>
        </w:rPr>
        <w:t>）是中性粒细胞减少症、血小板减少症、贫血、腹泻、骨骼肌肉疼痛、恶心、皮疹、青肿、疲乏、发热和出血。</w:t>
      </w:r>
    </w:p>
    <w:p w:rsidR="00B23A40" w:rsidRDefault="00DD1A0D">
      <w:pPr>
        <w:spacing w:line="360" w:lineRule="auto"/>
        <w:ind w:firstLineChars="200" w:firstLine="640"/>
        <w:rPr>
          <w:rFonts w:ascii="仿宋" w:eastAsia="仿宋" w:hAnsi="仿宋" w:cs="Times New Roman"/>
          <w:color w:val="000000"/>
          <w:sz w:val="32"/>
          <w:szCs w:val="32"/>
        </w:rPr>
      </w:pPr>
      <w:r>
        <w:rPr>
          <w:rFonts w:ascii="仿宋" w:eastAsia="仿宋" w:hAnsi="仿宋" w:cs="仿宋" w:hint="eastAsia"/>
          <w:color w:val="000000"/>
          <w:sz w:val="32"/>
          <w:szCs w:val="32"/>
        </w:rPr>
        <w:t>9</w:t>
      </w:r>
      <w:r>
        <w:rPr>
          <w:rFonts w:ascii="仿宋" w:eastAsia="仿宋" w:hAnsi="仿宋" w:cs="仿宋"/>
          <w:color w:val="000000"/>
          <w:sz w:val="32"/>
          <w:szCs w:val="32"/>
        </w:rPr>
        <w:t>.</w:t>
      </w:r>
      <w:r>
        <w:rPr>
          <w:rFonts w:ascii="仿宋" w:eastAsia="仿宋" w:hAnsi="仿宋" w:cs="仿宋" w:hint="eastAsia"/>
          <w:color w:val="000000"/>
          <w:sz w:val="32"/>
          <w:szCs w:val="32"/>
        </w:rPr>
        <w:t>避免与强效或中效</w:t>
      </w:r>
      <w:r>
        <w:rPr>
          <w:rFonts w:ascii="仿宋" w:eastAsia="仿宋" w:hAnsi="仿宋" w:cs="仿宋"/>
          <w:color w:val="000000"/>
          <w:sz w:val="32"/>
          <w:szCs w:val="32"/>
        </w:rPr>
        <w:t>CYP3A</w:t>
      </w:r>
      <w:r>
        <w:rPr>
          <w:rFonts w:ascii="仿宋" w:eastAsia="仿宋" w:hAnsi="仿宋" w:cs="仿宋" w:hint="eastAsia"/>
          <w:color w:val="000000"/>
          <w:sz w:val="32"/>
          <w:szCs w:val="32"/>
        </w:rPr>
        <w:t>抑制剂同时给药，可考虑使用</w:t>
      </w:r>
      <w:r>
        <w:rPr>
          <w:rFonts w:ascii="仿宋" w:eastAsia="仿宋" w:hAnsi="仿宋" w:cs="仿宋"/>
          <w:color w:val="000000"/>
          <w:sz w:val="32"/>
          <w:szCs w:val="32"/>
        </w:rPr>
        <w:t>CYP3A</w:t>
      </w:r>
      <w:r>
        <w:rPr>
          <w:rFonts w:ascii="仿宋" w:eastAsia="仿宋" w:hAnsi="仿宋" w:cs="仿宋" w:hint="eastAsia"/>
          <w:color w:val="000000"/>
          <w:sz w:val="32"/>
          <w:szCs w:val="32"/>
        </w:rPr>
        <w:t>抑制作用较小的替代药物。</w:t>
      </w:r>
    </w:p>
    <w:p w:rsidR="00B23A40" w:rsidRDefault="00DD1A0D">
      <w:pPr>
        <w:spacing w:line="360" w:lineRule="auto"/>
        <w:ind w:firstLineChars="200" w:firstLine="640"/>
        <w:rPr>
          <w:rFonts w:ascii="仿宋" w:eastAsia="仿宋" w:hAnsi="仿宋" w:cs="Times New Roman"/>
          <w:color w:val="000000"/>
          <w:sz w:val="32"/>
          <w:szCs w:val="32"/>
        </w:rPr>
      </w:pPr>
      <w:r>
        <w:rPr>
          <w:rFonts w:ascii="仿宋" w:eastAsia="仿宋" w:hAnsi="仿宋" w:cs="仿宋" w:hint="eastAsia"/>
          <w:color w:val="000000"/>
          <w:sz w:val="32"/>
          <w:szCs w:val="32"/>
        </w:rPr>
        <w:t>10</w:t>
      </w:r>
      <w:r>
        <w:rPr>
          <w:rFonts w:ascii="仿宋" w:eastAsia="仿宋" w:hAnsi="仿宋" w:cs="仿宋"/>
          <w:color w:val="000000"/>
          <w:sz w:val="32"/>
          <w:szCs w:val="32"/>
        </w:rPr>
        <w:t>.</w:t>
      </w:r>
      <w:r>
        <w:rPr>
          <w:rFonts w:ascii="仿宋" w:eastAsia="仿宋" w:hAnsi="仿宋" w:cs="仿宋" w:hint="eastAsia"/>
          <w:color w:val="000000"/>
          <w:sz w:val="32"/>
          <w:szCs w:val="32"/>
        </w:rPr>
        <w:t>用药期间禁止服用葡萄柚。</w:t>
      </w:r>
    </w:p>
    <w:p w:rsidR="00B23A40" w:rsidRDefault="00DD1A0D">
      <w:pPr>
        <w:spacing w:line="360" w:lineRule="auto"/>
        <w:ind w:firstLineChars="200" w:firstLine="643"/>
        <w:rPr>
          <w:rFonts w:ascii="仿宋" w:eastAsia="仿宋" w:hAnsi="仿宋" w:cs="仿宋"/>
          <w:color w:val="000000"/>
          <w:sz w:val="32"/>
          <w:szCs w:val="32"/>
        </w:rPr>
      </w:pPr>
      <w:r>
        <w:rPr>
          <w:rFonts w:ascii="仿宋" w:eastAsia="仿宋" w:hAnsi="仿宋" w:cs="仿宋" w:hint="eastAsia"/>
          <w:b/>
          <w:bCs/>
          <w:sz w:val="32"/>
          <w:szCs w:val="32"/>
          <w:vertAlign w:val="superscript"/>
        </w:rPr>
        <w:t>※</w:t>
      </w:r>
      <w:r>
        <w:rPr>
          <w:rFonts w:ascii="仿宋" w:eastAsia="仿宋" w:hAnsi="仿宋" w:cs="仿宋"/>
          <w:color w:val="000000"/>
          <w:sz w:val="32"/>
          <w:szCs w:val="32"/>
        </w:rPr>
        <w:t>1</w:t>
      </w:r>
      <w:r>
        <w:rPr>
          <w:rFonts w:ascii="仿宋" w:eastAsia="仿宋" w:hAnsi="仿宋" w:cs="仿宋" w:hint="eastAsia"/>
          <w:color w:val="000000"/>
          <w:sz w:val="32"/>
          <w:szCs w:val="32"/>
        </w:rPr>
        <w:t>1</w:t>
      </w:r>
      <w:r>
        <w:rPr>
          <w:rFonts w:ascii="仿宋" w:eastAsia="仿宋" w:hAnsi="仿宋" w:cs="仿宋"/>
          <w:color w:val="000000"/>
          <w:sz w:val="32"/>
          <w:szCs w:val="32"/>
        </w:rPr>
        <w:t>.</w:t>
      </w:r>
      <w:r>
        <w:rPr>
          <w:rFonts w:ascii="仿宋" w:eastAsia="仿宋" w:hAnsi="仿宋" w:cs="仿宋" w:hint="eastAsia"/>
          <w:color w:val="000000"/>
          <w:sz w:val="32"/>
          <w:szCs w:val="32"/>
        </w:rPr>
        <w:t>一线治疗慢性淋巴细胞白血病</w:t>
      </w:r>
      <w:r>
        <w:rPr>
          <w:rFonts w:ascii="仿宋" w:eastAsia="仿宋" w:hAnsi="仿宋" w:cs="仿宋"/>
          <w:color w:val="000000"/>
          <w:sz w:val="32"/>
          <w:szCs w:val="32"/>
        </w:rPr>
        <w:t>/</w:t>
      </w:r>
      <w:r>
        <w:rPr>
          <w:rFonts w:ascii="仿宋" w:eastAsia="仿宋" w:hAnsi="仿宋" w:cs="仿宋" w:hint="eastAsia"/>
          <w:color w:val="000000"/>
          <w:sz w:val="32"/>
          <w:szCs w:val="32"/>
        </w:rPr>
        <w:t>小淋巴细胞淋巴瘤，难治复发边缘区淋巴瘤，慢性移植物抗宿主病（美国</w:t>
      </w:r>
      <w:r>
        <w:rPr>
          <w:rFonts w:ascii="仿宋" w:eastAsia="仿宋" w:hAnsi="仿宋" w:cs="仿宋"/>
          <w:color w:val="000000"/>
          <w:sz w:val="32"/>
          <w:szCs w:val="32"/>
        </w:rPr>
        <w:t>FDA</w:t>
      </w:r>
      <w:r>
        <w:rPr>
          <w:rFonts w:ascii="仿宋" w:eastAsia="仿宋" w:hAnsi="仿宋" w:cs="仿宋" w:hint="eastAsia"/>
          <w:color w:val="000000"/>
          <w:sz w:val="32"/>
          <w:szCs w:val="32"/>
        </w:rPr>
        <w:t>批准的其他适应证）。</w:t>
      </w:r>
    </w:p>
    <w:p w:rsidR="00B23A40" w:rsidRDefault="00DD1A0D">
      <w:p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 xml:space="preserve">五、利妥昔单抗 </w:t>
      </w:r>
      <w:r>
        <w:rPr>
          <w:rFonts w:ascii="黑体" w:eastAsia="黑体" w:hAnsi="黑体" w:cs="黑体"/>
          <w:sz w:val="32"/>
          <w:szCs w:val="32"/>
        </w:rPr>
        <w:t>rituximab</w:t>
      </w:r>
    </w:p>
    <w:p w:rsidR="00B23A40" w:rsidRDefault="00DD1A0D">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rPr>
        <w:lastRenderedPageBreak/>
        <w:t>制剂与规格</w:t>
      </w:r>
      <w:r>
        <w:rPr>
          <w:rFonts w:ascii="仿宋" w:eastAsia="仿宋" w:hAnsi="仿宋" w:cs="仿宋" w:hint="eastAsia"/>
          <w:sz w:val="32"/>
          <w:szCs w:val="32"/>
        </w:rPr>
        <w:t>：针剂：</w:t>
      </w:r>
      <w:r>
        <w:rPr>
          <w:rFonts w:ascii="仿宋" w:eastAsia="仿宋" w:hAnsi="仿宋" w:cs="仿宋"/>
          <w:sz w:val="32"/>
          <w:szCs w:val="32"/>
        </w:rPr>
        <w:t>100mg</w:t>
      </w:r>
      <w:r>
        <w:rPr>
          <w:rFonts w:ascii="仿宋" w:eastAsia="仿宋" w:hAnsi="仿宋" w:cs="仿宋" w:hint="eastAsia"/>
          <w:sz w:val="32"/>
          <w:szCs w:val="32"/>
        </w:rPr>
        <w:t>（</w:t>
      </w:r>
      <w:r>
        <w:rPr>
          <w:rFonts w:ascii="仿宋" w:eastAsia="仿宋" w:hAnsi="仿宋" w:cs="仿宋"/>
          <w:sz w:val="32"/>
          <w:szCs w:val="32"/>
        </w:rPr>
        <w:t>10ml</w:t>
      </w:r>
      <w:r>
        <w:rPr>
          <w:rFonts w:ascii="仿宋" w:eastAsia="仿宋" w:hAnsi="仿宋" w:cs="仿宋" w:hint="eastAsia"/>
          <w:sz w:val="32"/>
          <w:szCs w:val="32"/>
        </w:rPr>
        <w:t>）</w:t>
      </w:r>
      <w:r>
        <w:rPr>
          <w:rFonts w:ascii="仿宋" w:eastAsia="仿宋" w:hAnsi="仿宋" w:cs="仿宋"/>
          <w:sz w:val="32"/>
          <w:szCs w:val="32"/>
        </w:rPr>
        <w:t>/</w:t>
      </w:r>
      <w:r>
        <w:rPr>
          <w:rFonts w:ascii="仿宋" w:eastAsia="仿宋" w:hAnsi="仿宋" w:cs="仿宋" w:hint="eastAsia"/>
          <w:sz w:val="32"/>
          <w:szCs w:val="32"/>
        </w:rPr>
        <w:t>瓶、</w:t>
      </w:r>
      <w:r>
        <w:rPr>
          <w:rFonts w:ascii="仿宋" w:eastAsia="仿宋" w:hAnsi="仿宋" w:cs="仿宋"/>
          <w:sz w:val="32"/>
          <w:szCs w:val="32"/>
        </w:rPr>
        <w:t>500mg</w:t>
      </w:r>
      <w:r>
        <w:rPr>
          <w:rFonts w:ascii="仿宋" w:eastAsia="仿宋" w:hAnsi="仿宋" w:cs="仿宋" w:hint="eastAsia"/>
          <w:sz w:val="32"/>
          <w:szCs w:val="32"/>
        </w:rPr>
        <w:t>（</w:t>
      </w:r>
      <w:r>
        <w:rPr>
          <w:rFonts w:ascii="仿宋" w:eastAsia="仿宋" w:hAnsi="仿宋" w:cs="仿宋"/>
          <w:sz w:val="32"/>
          <w:szCs w:val="32"/>
        </w:rPr>
        <w:t>50ml</w:t>
      </w:r>
      <w:r>
        <w:rPr>
          <w:rFonts w:ascii="仿宋" w:eastAsia="仿宋" w:hAnsi="仿宋" w:cs="仿宋" w:hint="eastAsia"/>
          <w:sz w:val="32"/>
          <w:szCs w:val="32"/>
        </w:rPr>
        <w:t>）</w:t>
      </w:r>
      <w:r>
        <w:rPr>
          <w:rFonts w:ascii="仿宋" w:eastAsia="仿宋" w:hAnsi="仿宋" w:cs="仿宋"/>
          <w:sz w:val="32"/>
          <w:szCs w:val="32"/>
        </w:rPr>
        <w:t>/</w:t>
      </w:r>
      <w:r>
        <w:rPr>
          <w:rFonts w:ascii="仿宋" w:eastAsia="仿宋" w:hAnsi="仿宋" w:cs="仿宋" w:hint="eastAsia"/>
          <w:sz w:val="32"/>
          <w:szCs w:val="32"/>
        </w:rPr>
        <w:t>瓶</w:t>
      </w:r>
    </w:p>
    <w:p w:rsidR="00B23A40" w:rsidRDefault="00DD1A0D">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适应证：</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 xml:space="preserve"> 有治疗指征的滤泡性非霍奇金淋巴瘤。</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2</w:t>
      </w:r>
      <w:r>
        <w:rPr>
          <w:rFonts w:ascii="仿宋" w:eastAsia="仿宋" w:hAnsi="仿宋" w:cs="仿宋"/>
          <w:sz w:val="32"/>
          <w:szCs w:val="32"/>
        </w:rPr>
        <w:t>.CD20</w:t>
      </w:r>
      <w:r>
        <w:rPr>
          <w:rFonts w:ascii="仿宋" w:eastAsia="仿宋" w:hAnsi="仿宋" w:cs="仿宋" w:hint="eastAsia"/>
          <w:sz w:val="32"/>
          <w:szCs w:val="32"/>
        </w:rPr>
        <w:t>阳性弥漫大</w:t>
      </w:r>
      <w:r>
        <w:rPr>
          <w:rFonts w:ascii="仿宋" w:eastAsia="仿宋" w:hAnsi="仿宋" w:cs="仿宋"/>
          <w:sz w:val="32"/>
          <w:szCs w:val="32"/>
        </w:rPr>
        <w:t>B</w:t>
      </w:r>
      <w:r>
        <w:rPr>
          <w:rFonts w:ascii="仿宋" w:eastAsia="仿宋" w:hAnsi="仿宋" w:cs="仿宋" w:hint="eastAsia"/>
          <w:sz w:val="32"/>
          <w:szCs w:val="32"/>
        </w:rPr>
        <w:t>细胞性非霍奇金淋巴瘤（</w:t>
      </w:r>
      <w:r>
        <w:rPr>
          <w:rFonts w:ascii="仿宋" w:eastAsia="仿宋" w:hAnsi="仿宋" w:cs="仿宋"/>
          <w:sz w:val="32"/>
          <w:szCs w:val="32"/>
        </w:rPr>
        <w:t>DLBCL</w:t>
      </w:r>
      <w:r>
        <w:rPr>
          <w:rFonts w:ascii="仿宋" w:eastAsia="仿宋" w:hAnsi="仿宋" w:cs="仿宋" w:hint="eastAsia"/>
          <w:sz w:val="32"/>
          <w:szCs w:val="32"/>
        </w:rPr>
        <w:t>）。</w:t>
      </w:r>
    </w:p>
    <w:p w:rsidR="00B23A40" w:rsidRDefault="00DD1A0D">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接受</w:t>
      </w:r>
      <w:r>
        <w:rPr>
          <w:rFonts w:ascii="仿宋" w:eastAsia="仿宋" w:hAnsi="仿宋" w:cs="仿宋" w:hint="eastAsia"/>
          <w:color w:val="000000"/>
          <w:sz w:val="32"/>
          <w:szCs w:val="32"/>
        </w:rPr>
        <w:t>利妥昔单抗治疗后最常见的不良反应是输注相关反应，</w:t>
      </w:r>
      <w:r>
        <w:rPr>
          <w:rFonts w:ascii="仿宋" w:eastAsia="仿宋" w:hAnsi="仿宋" w:cs="仿宋" w:hint="eastAsia"/>
          <w:sz w:val="32"/>
          <w:szCs w:val="32"/>
        </w:rPr>
        <w:t>主要在首次输注时发生，</w:t>
      </w:r>
      <w:r>
        <w:rPr>
          <w:rFonts w:ascii="仿宋" w:eastAsia="仿宋" w:hAnsi="仿宋" w:cs="仿宋" w:hint="eastAsia"/>
          <w:color w:val="000000"/>
          <w:sz w:val="32"/>
          <w:szCs w:val="32"/>
        </w:rPr>
        <w:t>症状可表现为：恶心、瘙痒、发热、风疹</w:t>
      </w:r>
      <w:r>
        <w:rPr>
          <w:rFonts w:ascii="仿宋" w:eastAsia="仿宋" w:hAnsi="仿宋" w:cs="仿宋"/>
          <w:color w:val="000000"/>
          <w:sz w:val="32"/>
          <w:szCs w:val="32"/>
        </w:rPr>
        <w:t>/</w:t>
      </w:r>
      <w:r>
        <w:rPr>
          <w:rFonts w:ascii="仿宋" w:eastAsia="仿宋" w:hAnsi="仿宋" w:cs="仿宋" w:hint="eastAsia"/>
          <w:color w:val="000000"/>
          <w:sz w:val="32"/>
          <w:szCs w:val="32"/>
        </w:rPr>
        <w:t>皮疹、畏寒、寒战、喷嚏、血管神经性水肿、咽喉刺激、咳嗽和支气管痉挛，同时伴有或不伴有与药物治疗相关的低血压或高血压</w:t>
      </w:r>
      <w:r>
        <w:rPr>
          <w:rFonts w:ascii="仿宋" w:eastAsia="仿宋" w:hAnsi="仿宋" w:cs="仿宋" w:hint="eastAsia"/>
          <w:sz w:val="32"/>
          <w:szCs w:val="32"/>
        </w:rPr>
        <w:t>。每次滴注利妥昔单抗前应预先使用抗过敏药物。如果所使用的治疗方案不包括糖皮质激素时，还应该预先使用糖皮质激素。</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color w:val="000000"/>
          <w:sz w:val="32"/>
          <w:szCs w:val="32"/>
        </w:rPr>
        <w:t>在接受利妥昔单抗和抑制细胞增殖药物化疗的患者中，已报告发生乙型肝炎再激活的病例。应在开始利妥昔单抗治疗前对所有患者根据当地指南进行乙肝病毒（</w:t>
      </w:r>
      <w:r>
        <w:rPr>
          <w:rFonts w:ascii="仿宋" w:eastAsia="仿宋" w:hAnsi="仿宋" w:cs="仿宋"/>
          <w:color w:val="000000"/>
          <w:sz w:val="32"/>
          <w:szCs w:val="32"/>
        </w:rPr>
        <w:t>HBV</w:t>
      </w:r>
      <w:r>
        <w:rPr>
          <w:rFonts w:ascii="仿宋" w:eastAsia="仿宋" w:hAnsi="仿宋" w:cs="仿宋" w:hint="eastAsia"/>
          <w:color w:val="000000"/>
          <w:sz w:val="32"/>
          <w:szCs w:val="32"/>
        </w:rPr>
        <w:t>）的筛查，至少应包括乙肝表面抗原（</w:t>
      </w:r>
      <w:r>
        <w:rPr>
          <w:rFonts w:ascii="仿宋" w:eastAsia="仿宋" w:hAnsi="仿宋" w:cs="仿宋"/>
          <w:color w:val="000000"/>
          <w:sz w:val="32"/>
          <w:szCs w:val="32"/>
        </w:rPr>
        <w:t>HBsAg</w:t>
      </w:r>
      <w:r>
        <w:rPr>
          <w:rFonts w:ascii="仿宋" w:eastAsia="仿宋" w:hAnsi="仿宋" w:cs="仿宋" w:hint="eastAsia"/>
          <w:color w:val="000000"/>
          <w:sz w:val="32"/>
          <w:szCs w:val="32"/>
        </w:rPr>
        <w:t>）和乙肝核心抗体（</w:t>
      </w:r>
      <w:r>
        <w:rPr>
          <w:rFonts w:ascii="仿宋" w:eastAsia="仿宋" w:hAnsi="仿宋" w:cs="仿宋"/>
          <w:color w:val="000000"/>
          <w:sz w:val="32"/>
          <w:szCs w:val="32"/>
        </w:rPr>
        <w:t>HBcAb</w:t>
      </w:r>
      <w:r>
        <w:rPr>
          <w:rFonts w:ascii="仿宋" w:eastAsia="仿宋" w:hAnsi="仿宋" w:cs="仿宋" w:hint="eastAsia"/>
          <w:color w:val="000000"/>
          <w:sz w:val="32"/>
          <w:szCs w:val="32"/>
        </w:rPr>
        <w:t>）</w:t>
      </w:r>
      <w:r>
        <w:rPr>
          <w:rFonts w:ascii="仿宋" w:eastAsia="仿宋" w:hAnsi="仿宋" w:cs="仿宋" w:hint="eastAsia"/>
          <w:color w:val="000000"/>
          <w:w w:val="97"/>
          <w:sz w:val="32"/>
          <w:szCs w:val="32"/>
        </w:rPr>
        <w:t>指标。不应对活动性乙肝患者使用利妥昔单抗进行治疗。</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禁用于严重活动性感染或免疫应答严重损伤（如低球蛋白血症，</w:t>
      </w:r>
      <w:r>
        <w:rPr>
          <w:rFonts w:ascii="仿宋" w:eastAsia="仿宋" w:hAnsi="仿宋" w:cs="仿宋"/>
          <w:sz w:val="32"/>
          <w:szCs w:val="32"/>
        </w:rPr>
        <w:t>CD4</w:t>
      </w:r>
      <w:r>
        <w:rPr>
          <w:rFonts w:ascii="仿宋" w:eastAsia="仿宋" w:hAnsi="仿宋" w:cs="仿宋" w:hint="eastAsia"/>
          <w:sz w:val="32"/>
          <w:szCs w:val="32"/>
        </w:rPr>
        <w:t>或</w:t>
      </w:r>
      <w:r>
        <w:rPr>
          <w:rFonts w:ascii="仿宋" w:eastAsia="仿宋" w:hAnsi="仿宋" w:cs="仿宋"/>
          <w:sz w:val="32"/>
          <w:szCs w:val="32"/>
        </w:rPr>
        <w:t>CD8</w:t>
      </w:r>
      <w:r>
        <w:rPr>
          <w:rFonts w:ascii="仿宋" w:eastAsia="仿宋" w:hAnsi="仿宋" w:cs="仿宋" w:hint="eastAsia"/>
          <w:sz w:val="32"/>
          <w:szCs w:val="32"/>
        </w:rPr>
        <w:t>细胞计数严重下降）患者及严重心衰</w:t>
      </w:r>
      <w:r>
        <w:rPr>
          <w:rFonts w:ascii="仿宋" w:eastAsia="仿宋" w:hAnsi="仿宋" w:cs="仿宋"/>
          <w:color w:val="000000"/>
          <w:sz w:val="32"/>
          <w:szCs w:val="32"/>
        </w:rPr>
        <w:t>[</w:t>
      </w:r>
      <w:r>
        <w:rPr>
          <w:rFonts w:ascii="仿宋" w:eastAsia="仿宋" w:hAnsi="仿宋" w:cs="仿宋" w:hint="eastAsia"/>
          <w:color w:val="000000"/>
          <w:sz w:val="32"/>
          <w:szCs w:val="32"/>
        </w:rPr>
        <w:t>纽约心脏病学会（</w:t>
      </w:r>
      <w:r>
        <w:rPr>
          <w:rFonts w:ascii="仿宋" w:eastAsia="仿宋" w:hAnsi="仿宋" w:cs="仿宋"/>
          <w:color w:val="000000"/>
          <w:sz w:val="32"/>
          <w:szCs w:val="32"/>
        </w:rPr>
        <w:t>NYHA</w:t>
      </w:r>
      <w:r>
        <w:rPr>
          <w:rFonts w:ascii="仿宋" w:eastAsia="仿宋" w:hAnsi="仿宋" w:cs="仿宋" w:hint="eastAsia"/>
          <w:color w:val="000000"/>
          <w:sz w:val="32"/>
          <w:szCs w:val="32"/>
        </w:rPr>
        <w:t>）</w:t>
      </w:r>
      <w:r>
        <w:rPr>
          <w:rFonts w:ascii="仿宋" w:eastAsia="仿宋" w:hAnsi="仿宋" w:cs="仿宋" w:hint="eastAsia"/>
          <w:sz w:val="32"/>
          <w:szCs w:val="32"/>
        </w:rPr>
        <w:t>分类Ⅳ级</w:t>
      </w:r>
      <w:r>
        <w:rPr>
          <w:rFonts w:ascii="仿宋" w:eastAsia="仿宋" w:hAnsi="仿宋" w:cs="仿宋"/>
          <w:color w:val="000000"/>
          <w:sz w:val="32"/>
          <w:szCs w:val="32"/>
        </w:rPr>
        <w:t>]</w:t>
      </w:r>
      <w:r>
        <w:rPr>
          <w:rFonts w:ascii="仿宋" w:eastAsia="仿宋" w:hAnsi="仿宋" w:cs="仿宋" w:hint="eastAsia"/>
          <w:sz w:val="32"/>
          <w:szCs w:val="32"/>
        </w:rPr>
        <w:t>患者；妊娠期间禁止利妥</w:t>
      </w:r>
      <w:r>
        <w:rPr>
          <w:rFonts w:ascii="仿宋" w:eastAsia="仿宋" w:hAnsi="仿宋" w:cs="仿宋" w:hint="eastAsia"/>
          <w:sz w:val="32"/>
          <w:szCs w:val="32"/>
        </w:rPr>
        <w:lastRenderedPageBreak/>
        <w:t>昔单抗与甲氨蝶呤联合用药。</w:t>
      </w:r>
    </w:p>
    <w:p w:rsidR="00B23A40" w:rsidRDefault="00DD1A0D">
      <w:pPr>
        <w:spacing w:line="360" w:lineRule="auto"/>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color w:val="000000"/>
          <w:sz w:val="32"/>
          <w:szCs w:val="32"/>
        </w:rPr>
        <w:t>利妥昔单抗给药需要严格遵循说明书用法用量，尤其需要注意起始滴速的控制。</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5.对用药患者进行严密监护，监测是否发生细胞因子释放综合征及肿瘤溶解综合征。</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6</w:t>
      </w:r>
      <w:r>
        <w:rPr>
          <w:rFonts w:ascii="仿宋" w:eastAsia="仿宋" w:hAnsi="仿宋" w:cs="仿宋"/>
          <w:sz w:val="32"/>
          <w:szCs w:val="32"/>
        </w:rPr>
        <w:t>.</w:t>
      </w:r>
      <w:r>
        <w:rPr>
          <w:rFonts w:ascii="仿宋" w:eastAsia="仿宋" w:hAnsi="仿宋" w:cs="仿宋" w:hint="eastAsia"/>
          <w:sz w:val="32"/>
          <w:szCs w:val="32"/>
        </w:rPr>
        <w:t>预先存在肺功能不全或肿瘤肺浸润的患者必须进行胸部影像学检查。</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7.</w:t>
      </w:r>
      <w:r>
        <w:rPr>
          <w:rFonts w:ascii="仿宋" w:eastAsia="仿宋" w:hAnsi="仿宋" w:cs="Times New Roman" w:hint="eastAsia"/>
          <w:sz w:val="32"/>
          <w:szCs w:val="32"/>
        </w:rPr>
        <w:t>各线治疗慢性淋巴细胞白血病/小淋巴细胞淋巴瘤以及CD</w:t>
      </w:r>
      <w:r>
        <w:rPr>
          <w:rFonts w:ascii="仿宋" w:eastAsia="仿宋" w:hAnsi="仿宋" w:cs="Times New Roman"/>
          <w:sz w:val="32"/>
          <w:szCs w:val="32"/>
        </w:rPr>
        <w:t>20</w:t>
      </w:r>
      <w:r>
        <w:rPr>
          <w:rFonts w:ascii="仿宋" w:eastAsia="仿宋" w:hAnsi="仿宋" w:cs="Times New Roman" w:hint="eastAsia"/>
          <w:sz w:val="32"/>
          <w:szCs w:val="32"/>
        </w:rPr>
        <w:t>+的非霍奇金淋巴瘤（FDA批准的其他适应证）。</w:t>
      </w:r>
    </w:p>
    <w:p w:rsidR="00B23A40" w:rsidRDefault="00DD1A0D">
      <w:p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 xml:space="preserve">六、西达本胺 </w:t>
      </w:r>
      <w:r>
        <w:rPr>
          <w:rFonts w:ascii="黑体" w:eastAsia="黑体" w:hAnsi="黑体" w:cs="黑体"/>
          <w:sz w:val="32"/>
          <w:szCs w:val="32"/>
        </w:rPr>
        <w:t>chidamide</w:t>
      </w:r>
    </w:p>
    <w:p w:rsidR="00B23A40" w:rsidRDefault="00DD1A0D">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片剂：</w:t>
      </w:r>
      <w:r>
        <w:rPr>
          <w:rFonts w:ascii="仿宋" w:eastAsia="仿宋" w:hAnsi="仿宋" w:cs="仿宋"/>
          <w:sz w:val="32"/>
          <w:szCs w:val="32"/>
        </w:rPr>
        <w:t xml:space="preserve">5mg </w:t>
      </w:r>
    </w:p>
    <w:p w:rsidR="00B23A40" w:rsidRDefault="00DD1A0D">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rPr>
        <w:t>适应证：</w:t>
      </w:r>
      <w:r>
        <w:rPr>
          <w:rFonts w:ascii="仿宋" w:eastAsia="仿宋" w:hAnsi="仿宋" w:cs="仿宋" w:hint="eastAsia"/>
          <w:color w:val="000000"/>
          <w:sz w:val="32"/>
          <w:szCs w:val="32"/>
        </w:rPr>
        <w:t>适用于既往至少接受过一次全身化疗的复发或难治的外周</w:t>
      </w:r>
      <w:r>
        <w:rPr>
          <w:rFonts w:ascii="仿宋" w:eastAsia="仿宋" w:hAnsi="仿宋" w:cs="仿宋"/>
          <w:color w:val="000000"/>
          <w:sz w:val="32"/>
          <w:szCs w:val="32"/>
        </w:rPr>
        <w:t>T</w:t>
      </w:r>
      <w:r>
        <w:rPr>
          <w:rFonts w:ascii="仿宋" w:eastAsia="仿宋" w:hAnsi="仿宋" w:cs="仿宋" w:hint="eastAsia"/>
          <w:color w:val="000000"/>
          <w:sz w:val="32"/>
          <w:szCs w:val="32"/>
        </w:rPr>
        <w:t>细胞淋巴瘤（</w:t>
      </w:r>
      <w:r>
        <w:rPr>
          <w:rFonts w:ascii="仿宋" w:eastAsia="仿宋" w:hAnsi="仿宋" w:cs="仿宋"/>
          <w:color w:val="000000"/>
          <w:sz w:val="32"/>
          <w:szCs w:val="32"/>
        </w:rPr>
        <w:t>PTCL</w:t>
      </w:r>
      <w:r>
        <w:rPr>
          <w:rFonts w:ascii="仿宋" w:eastAsia="仿宋" w:hAnsi="仿宋" w:cs="仿宋" w:hint="eastAsia"/>
          <w:color w:val="000000"/>
          <w:sz w:val="32"/>
          <w:szCs w:val="32"/>
        </w:rPr>
        <w:t>）患者。</w:t>
      </w:r>
    </w:p>
    <w:p w:rsidR="00B23A40" w:rsidRDefault="00DD1A0D">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B23A40" w:rsidRDefault="00DD1A0D">
      <w:pPr>
        <w:spacing w:line="360" w:lineRule="auto"/>
        <w:ind w:firstLineChars="200" w:firstLine="640"/>
        <w:rPr>
          <w:rFonts w:ascii="仿宋" w:eastAsia="仿宋" w:hAnsi="仿宋" w:cs="Times New Roman"/>
          <w:color w:val="000000"/>
          <w:sz w:val="32"/>
          <w:szCs w:val="32"/>
        </w:rPr>
      </w:pPr>
      <w:r>
        <w:rPr>
          <w:rFonts w:ascii="仿宋" w:eastAsia="仿宋" w:hAnsi="仿宋" w:cs="仿宋"/>
          <w:sz w:val="32"/>
          <w:szCs w:val="32"/>
        </w:rPr>
        <w:t>1.</w:t>
      </w:r>
      <w:r>
        <w:rPr>
          <w:rFonts w:ascii="仿宋" w:eastAsia="仿宋" w:hAnsi="仿宋" w:cs="仿宋" w:hint="eastAsia"/>
          <w:color w:val="000000"/>
          <w:sz w:val="32"/>
          <w:szCs w:val="32"/>
        </w:rPr>
        <w:t>成人推荐每次服药</w:t>
      </w:r>
      <w:r>
        <w:rPr>
          <w:rFonts w:ascii="仿宋" w:eastAsia="仿宋" w:hAnsi="仿宋" w:cs="仿宋"/>
          <w:color w:val="000000"/>
          <w:sz w:val="32"/>
          <w:szCs w:val="32"/>
        </w:rPr>
        <w:t>30mg</w:t>
      </w:r>
      <w:r>
        <w:rPr>
          <w:rFonts w:ascii="仿宋" w:eastAsia="仿宋" w:hAnsi="仿宋" w:cs="仿宋" w:hint="eastAsia"/>
          <w:color w:val="000000"/>
          <w:sz w:val="32"/>
          <w:szCs w:val="32"/>
        </w:rPr>
        <w:t>，每周服药两次，两次服药间隔不应少于</w:t>
      </w:r>
      <w:r>
        <w:rPr>
          <w:rFonts w:ascii="仿宋" w:eastAsia="仿宋" w:hAnsi="仿宋" w:cs="仿宋"/>
          <w:color w:val="000000"/>
          <w:sz w:val="32"/>
          <w:szCs w:val="32"/>
        </w:rPr>
        <w:t>3</w:t>
      </w:r>
      <w:r>
        <w:rPr>
          <w:rFonts w:ascii="仿宋" w:eastAsia="仿宋" w:hAnsi="仿宋" w:cs="仿宋" w:hint="eastAsia"/>
          <w:color w:val="000000"/>
          <w:sz w:val="32"/>
          <w:szCs w:val="32"/>
        </w:rPr>
        <w:t>天（如周一和周四、周二和周五、周三和周六等），早餐后</w:t>
      </w:r>
      <w:r>
        <w:rPr>
          <w:rFonts w:ascii="仿宋" w:eastAsia="仿宋" w:hAnsi="仿宋" w:cs="仿宋"/>
          <w:color w:val="000000"/>
          <w:sz w:val="32"/>
          <w:szCs w:val="32"/>
        </w:rPr>
        <w:t>30</w:t>
      </w:r>
      <w:r>
        <w:rPr>
          <w:rFonts w:ascii="仿宋" w:eastAsia="仿宋" w:hAnsi="仿宋" w:cs="仿宋" w:hint="eastAsia"/>
          <w:color w:val="000000"/>
          <w:sz w:val="32"/>
          <w:szCs w:val="32"/>
        </w:rPr>
        <w:t>分钟服用。若病情未进展或未出现不能耐受的不良反应，建议持续服药。</w:t>
      </w:r>
    </w:p>
    <w:p w:rsidR="00B23A40" w:rsidRDefault="00DD1A0D">
      <w:pPr>
        <w:spacing w:line="360" w:lineRule="auto"/>
        <w:ind w:firstLineChars="200" w:firstLine="640"/>
        <w:rPr>
          <w:rFonts w:ascii="仿宋" w:eastAsia="仿宋" w:hAnsi="仿宋" w:cs="Times New Roman"/>
          <w:color w:val="000000"/>
          <w:sz w:val="32"/>
          <w:szCs w:val="32"/>
        </w:rPr>
      </w:pPr>
      <w:r>
        <w:rPr>
          <w:rFonts w:ascii="仿宋" w:eastAsia="仿宋" w:hAnsi="仿宋" w:cs="仿宋"/>
          <w:color w:val="000000"/>
          <w:sz w:val="32"/>
          <w:szCs w:val="32"/>
        </w:rPr>
        <w:t>2.</w:t>
      </w:r>
      <w:r>
        <w:rPr>
          <w:rFonts w:ascii="仿宋" w:eastAsia="仿宋" w:hAnsi="仿宋" w:cs="仿宋" w:hint="eastAsia"/>
          <w:color w:val="000000"/>
          <w:sz w:val="32"/>
          <w:szCs w:val="32"/>
        </w:rPr>
        <w:t>剂量调整：</w:t>
      </w:r>
      <w:r>
        <w:rPr>
          <w:rFonts w:ascii="仿宋" w:eastAsia="仿宋" w:hAnsi="仿宋" w:cs="仿宋"/>
          <w:color w:val="000000"/>
          <w:sz w:val="32"/>
          <w:szCs w:val="32"/>
        </w:rPr>
        <w:t>3</w:t>
      </w:r>
      <w:r>
        <w:rPr>
          <w:rFonts w:ascii="仿宋" w:eastAsia="仿宋" w:hAnsi="仿宋" w:cs="仿宋" w:hint="eastAsia"/>
          <w:color w:val="000000"/>
          <w:sz w:val="32"/>
          <w:szCs w:val="32"/>
        </w:rPr>
        <w:t>级或</w:t>
      </w:r>
      <w:r>
        <w:rPr>
          <w:rFonts w:ascii="仿宋" w:eastAsia="仿宋" w:hAnsi="仿宋" w:cs="仿宋"/>
          <w:color w:val="000000"/>
          <w:sz w:val="32"/>
          <w:szCs w:val="32"/>
        </w:rPr>
        <w:t>4</w:t>
      </w:r>
      <w:r>
        <w:rPr>
          <w:rFonts w:ascii="仿宋" w:eastAsia="仿宋" w:hAnsi="仿宋" w:cs="仿宋" w:hint="eastAsia"/>
          <w:color w:val="000000"/>
          <w:sz w:val="32"/>
          <w:szCs w:val="32"/>
        </w:rPr>
        <w:t>级中性粒细胞减少（中性粒细胞计数＜</w:t>
      </w:r>
      <w:r>
        <w:rPr>
          <w:rFonts w:ascii="仿宋" w:eastAsia="仿宋" w:hAnsi="仿宋" w:cs="仿宋"/>
          <w:color w:val="000000"/>
          <w:sz w:val="32"/>
          <w:szCs w:val="32"/>
        </w:rPr>
        <w:t>1.0</w:t>
      </w:r>
      <w:r>
        <w:rPr>
          <w:rFonts w:ascii="仿宋" w:eastAsia="仿宋" w:hAnsi="仿宋" w:cs="仿宋" w:hint="eastAsia"/>
          <w:color w:val="000000"/>
          <w:sz w:val="32"/>
          <w:szCs w:val="32"/>
        </w:rPr>
        <w:t>×</w:t>
      </w:r>
      <w:r>
        <w:rPr>
          <w:rFonts w:ascii="仿宋" w:eastAsia="仿宋" w:hAnsi="仿宋" w:cs="仿宋"/>
          <w:color w:val="000000"/>
          <w:sz w:val="32"/>
          <w:szCs w:val="32"/>
        </w:rPr>
        <w:t>10</w:t>
      </w:r>
      <w:r>
        <w:rPr>
          <w:rFonts w:ascii="仿宋" w:eastAsia="仿宋" w:hAnsi="仿宋" w:cs="仿宋"/>
          <w:color w:val="000000"/>
          <w:sz w:val="32"/>
          <w:szCs w:val="32"/>
          <w:vertAlign w:val="superscript"/>
        </w:rPr>
        <w:t>9</w:t>
      </w:r>
      <w:r>
        <w:rPr>
          <w:rFonts w:ascii="仿宋" w:eastAsia="仿宋" w:hAnsi="仿宋" w:cs="仿宋"/>
          <w:color w:val="000000"/>
          <w:sz w:val="32"/>
          <w:szCs w:val="32"/>
        </w:rPr>
        <w:t>/L</w:t>
      </w:r>
      <w:r>
        <w:rPr>
          <w:rFonts w:ascii="仿宋" w:eastAsia="仿宋" w:hAnsi="仿宋" w:cs="仿宋" w:hint="eastAsia"/>
          <w:color w:val="000000"/>
          <w:sz w:val="32"/>
          <w:szCs w:val="32"/>
        </w:rPr>
        <w:t>）、血小板减少（血小板计数＜</w:t>
      </w:r>
      <w:r>
        <w:rPr>
          <w:rFonts w:ascii="仿宋" w:eastAsia="仿宋" w:hAnsi="仿宋" w:cs="仿宋"/>
          <w:color w:val="000000"/>
          <w:sz w:val="32"/>
          <w:szCs w:val="32"/>
        </w:rPr>
        <w:t>50.0</w:t>
      </w:r>
      <w:r>
        <w:rPr>
          <w:rFonts w:ascii="仿宋" w:eastAsia="仿宋" w:hAnsi="仿宋" w:cs="仿宋" w:hint="eastAsia"/>
          <w:color w:val="000000"/>
          <w:sz w:val="32"/>
          <w:szCs w:val="32"/>
        </w:rPr>
        <w:t>×</w:t>
      </w:r>
      <w:r>
        <w:rPr>
          <w:rFonts w:ascii="仿宋" w:eastAsia="仿宋" w:hAnsi="仿宋" w:cs="仿宋"/>
          <w:color w:val="000000"/>
          <w:sz w:val="32"/>
          <w:szCs w:val="32"/>
        </w:rPr>
        <w:t>10</w:t>
      </w:r>
      <w:r>
        <w:rPr>
          <w:rFonts w:ascii="仿宋" w:eastAsia="仿宋" w:hAnsi="仿宋" w:cs="仿宋"/>
          <w:color w:val="000000"/>
          <w:sz w:val="32"/>
          <w:szCs w:val="32"/>
          <w:vertAlign w:val="superscript"/>
        </w:rPr>
        <w:t>9</w:t>
      </w:r>
      <w:r>
        <w:rPr>
          <w:rFonts w:ascii="仿宋" w:eastAsia="仿宋" w:hAnsi="仿宋" w:cs="仿宋"/>
          <w:color w:val="000000"/>
          <w:sz w:val="32"/>
          <w:szCs w:val="32"/>
        </w:rPr>
        <w:t>/L</w:t>
      </w:r>
      <w:r>
        <w:rPr>
          <w:rFonts w:ascii="仿宋" w:eastAsia="仿宋" w:hAnsi="仿宋" w:cs="仿宋" w:hint="eastAsia"/>
          <w:color w:val="000000"/>
          <w:sz w:val="32"/>
          <w:szCs w:val="32"/>
        </w:rPr>
        <w:t>）、贫血（血红蛋白降低至＜</w:t>
      </w:r>
      <w:r>
        <w:rPr>
          <w:rFonts w:ascii="仿宋" w:eastAsia="仿宋" w:hAnsi="仿宋" w:cs="仿宋"/>
          <w:color w:val="000000"/>
          <w:sz w:val="32"/>
          <w:szCs w:val="32"/>
        </w:rPr>
        <w:t>8.0g/dl</w:t>
      </w:r>
      <w:r>
        <w:rPr>
          <w:rFonts w:ascii="仿宋" w:eastAsia="仿宋" w:hAnsi="仿宋" w:cs="仿宋" w:hint="eastAsia"/>
          <w:color w:val="000000"/>
          <w:sz w:val="32"/>
          <w:szCs w:val="32"/>
        </w:rPr>
        <w:t>）时，暂停用药。待中性粒细胞绝对值恢复至≥</w:t>
      </w:r>
      <w:r>
        <w:rPr>
          <w:rFonts w:ascii="仿宋" w:eastAsia="仿宋" w:hAnsi="仿宋" w:cs="仿宋"/>
          <w:color w:val="000000"/>
          <w:sz w:val="32"/>
          <w:szCs w:val="32"/>
        </w:rPr>
        <w:t>1.5</w:t>
      </w:r>
      <w:r>
        <w:rPr>
          <w:rFonts w:ascii="仿宋" w:eastAsia="仿宋" w:hAnsi="仿宋" w:cs="仿宋" w:hint="eastAsia"/>
          <w:color w:val="000000"/>
          <w:sz w:val="32"/>
          <w:szCs w:val="32"/>
        </w:rPr>
        <w:t>×</w:t>
      </w:r>
      <w:r>
        <w:rPr>
          <w:rFonts w:ascii="仿宋" w:eastAsia="仿宋" w:hAnsi="仿宋" w:cs="仿宋"/>
          <w:color w:val="000000"/>
          <w:sz w:val="32"/>
          <w:szCs w:val="32"/>
        </w:rPr>
        <w:t>10</w:t>
      </w:r>
      <w:r>
        <w:rPr>
          <w:rFonts w:ascii="仿宋" w:eastAsia="仿宋" w:hAnsi="仿宋" w:cs="仿宋"/>
          <w:color w:val="000000"/>
          <w:sz w:val="32"/>
          <w:szCs w:val="32"/>
          <w:vertAlign w:val="superscript"/>
        </w:rPr>
        <w:t>9</w:t>
      </w:r>
      <w:r>
        <w:rPr>
          <w:rFonts w:ascii="仿宋" w:eastAsia="仿宋" w:hAnsi="仿宋" w:cs="仿宋"/>
          <w:color w:val="000000"/>
          <w:sz w:val="32"/>
          <w:szCs w:val="32"/>
        </w:rPr>
        <w:t>/L</w:t>
      </w:r>
      <w:r>
        <w:rPr>
          <w:rFonts w:ascii="仿宋" w:eastAsia="仿宋" w:hAnsi="仿宋" w:cs="仿宋" w:hint="eastAsia"/>
          <w:color w:val="000000"/>
          <w:sz w:val="32"/>
          <w:szCs w:val="32"/>
        </w:rPr>
        <w:t>、血小板恢复至≥</w:t>
      </w:r>
      <w:r>
        <w:rPr>
          <w:rFonts w:ascii="仿宋" w:eastAsia="仿宋" w:hAnsi="仿宋" w:cs="仿宋"/>
          <w:color w:val="000000"/>
          <w:sz w:val="32"/>
          <w:szCs w:val="32"/>
        </w:rPr>
        <w:lastRenderedPageBreak/>
        <w:t>75.0</w:t>
      </w:r>
      <w:r>
        <w:rPr>
          <w:rFonts w:ascii="仿宋" w:eastAsia="仿宋" w:hAnsi="仿宋" w:cs="仿宋" w:hint="eastAsia"/>
          <w:color w:val="000000"/>
          <w:sz w:val="32"/>
          <w:szCs w:val="32"/>
        </w:rPr>
        <w:t>×</w:t>
      </w:r>
      <w:r>
        <w:rPr>
          <w:rFonts w:ascii="仿宋" w:eastAsia="仿宋" w:hAnsi="仿宋" w:cs="仿宋"/>
          <w:color w:val="000000"/>
          <w:sz w:val="32"/>
          <w:szCs w:val="32"/>
        </w:rPr>
        <w:t>10</w:t>
      </w:r>
      <w:r>
        <w:rPr>
          <w:rFonts w:ascii="仿宋" w:eastAsia="仿宋" w:hAnsi="仿宋" w:cs="仿宋"/>
          <w:color w:val="000000"/>
          <w:sz w:val="32"/>
          <w:szCs w:val="32"/>
          <w:vertAlign w:val="superscript"/>
        </w:rPr>
        <w:t>9</w:t>
      </w:r>
      <w:r>
        <w:rPr>
          <w:rFonts w:ascii="仿宋" w:eastAsia="仿宋" w:hAnsi="仿宋" w:cs="仿宋"/>
          <w:color w:val="000000"/>
          <w:sz w:val="32"/>
          <w:szCs w:val="32"/>
        </w:rPr>
        <w:t>/L</w:t>
      </w:r>
      <w:r>
        <w:rPr>
          <w:rFonts w:ascii="仿宋" w:eastAsia="仿宋" w:hAnsi="仿宋" w:cs="仿宋" w:hint="eastAsia"/>
          <w:color w:val="000000"/>
          <w:sz w:val="32"/>
          <w:szCs w:val="32"/>
        </w:rPr>
        <w:t>、血红蛋白恢复至≥</w:t>
      </w:r>
      <w:r>
        <w:rPr>
          <w:rFonts w:ascii="仿宋" w:eastAsia="仿宋" w:hAnsi="仿宋" w:cs="仿宋"/>
          <w:color w:val="000000"/>
          <w:sz w:val="32"/>
          <w:szCs w:val="32"/>
        </w:rPr>
        <w:t>9.0g/dl</w:t>
      </w:r>
      <w:r>
        <w:rPr>
          <w:rFonts w:ascii="仿宋" w:eastAsia="仿宋" w:hAnsi="仿宋" w:cs="仿宋" w:hint="eastAsia"/>
          <w:color w:val="000000"/>
          <w:sz w:val="32"/>
          <w:szCs w:val="32"/>
        </w:rPr>
        <w:t>，并经连续两次检查确认，可继续治疗。如之前的不良反应为</w:t>
      </w:r>
      <w:r>
        <w:rPr>
          <w:rFonts w:ascii="仿宋" w:eastAsia="仿宋" w:hAnsi="仿宋" w:cs="仿宋"/>
          <w:color w:val="000000"/>
          <w:sz w:val="32"/>
          <w:szCs w:val="32"/>
        </w:rPr>
        <w:t>3</w:t>
      </w:r>
      <w:r>
        <w:rPr>
          <w:rFonts w:ascii="仿宋" w:eastAsia="仿宋" w:hAnsi="仿宋" w:cs="仿宋" w:hint="eastAsia"/>
          <w:color w:val="000000"/>
          <w:sz w:val="32"/>
          <w:szCs w:val="32"/>
        </w:rPr>
        <w:t>级，恢复用药时可采用原剂量或剂量降低至</w:t>
      </w:r>
      <w:r>
        <w:rPr>
          <w:rFonts w:ascii="仿宋" w:eastAsia="仿宋" w:hAnsi="仿宋" w:cs="仿宋"/>
          <w:color w:val="000000"/>
          <w:sz w:val="32"/>
          <w:szCs w:val="32"/>
        </w:rPr>
        <w:t>20mg/</w:t>
      </w:r>
      <w:r>
        <w:rPr>
          <w:rFonts w:ascii="仿宋" w:eastAsia="仿宋" w:hAnsi="仿宋" w:cs="仿宋" w:hint="eastAsia"/>
          <w:color w:val="000000"/>
          <w:sz w:val="32"/>
          <w:szCs w:val="32"/>
        </w:rPr>
        <w:t>次；如之前的不良反应为</w:t>
      </w:r>
      <w:r>
        <w:rPr>
          <w:rFonts w:ascii="仿宋" w:eastAsia="仿宋" w:hAnsi="仿宋" w:cs="仿宋"/>
          <w:color w:val="000000"/>
          <w:sz w:val="32"/>
          <w:szCs w:val="32"/>
        </w:rPr>
        <w:t>4</w:t>
      </w:r>
      <w:r>
        <w:rPr>
          <w:rFonts w:ascii="仿宋" w:eastAsia="仿宋" w:hAnsi="仿宋" w:cs="仿宋" w:hint="eastAsia"/>
          <w:color w:val="000000"/>
          <w:sz w:val="32"/>
          <w:szCs w:val="32"/>
        </w:rPr>
        <w:t>级，恢复用药时剂量应降低至</w:t>
      </w:r>
      <w:r>
        <w:rPr>
          <w:rFonts w:ascii="仿宋" w:eastAsia="仿宋" w:hAnsi="仿宋" w:cs="仿宋"/>
          <w:color w:val="000000"/>
          <w:sz w:val="32"/>
          <w:szCs w:val="32"/>
        </w:rPr>
        <w:t>20mg/</w:t>
      </w:r>
      <w:r>
        <w:rPr>
          <w:rFonts w:ascii="仿宋" w:eastAsia="仿宋" w:hAnsi="仿宋" w:cs="仿宋" w:hint="eastAsia"/>
          <w:color w:val="000000"/>
          <w:sz w:val="32"/>
          <w:szCs w:val="32"/>
        </w:rPr>
        <w:t>次。</w:t>
      </w:r>
    </w:p>
    <w:p w:rsidR="00B23A40" w:rsidRDefault="00DD1A0D">
      <w:pPr>
        <w:spacing w:line="360" w:lineRule="auto"/>
        <w:ind w:firstLineChars="200" w:firstLine="640"/>
        <w:rPr>
          <w:rFonts w:ascii="仿宋" w:eastAsia="仿宋" w:hAnsi="仿宋" w:cs="Times New Roman"/>
          <w:color w:val="000000"/>
          <w:sz w:val="32"/>
          <w:szCs w:val="32"/>
        </w:rPr>
      </w:pPr>
      <w:r>
        <w:rPr>
          <w:rFonts w:ascii="仿宋" w:eastAsia="仿宋" w:hAnsi="仿宋" w:cs="仿宋"/>
          <w:color w:val="000000"/>
          <w:sz w:val="32"/>
          <w:szCs w:val="32"/>
        </w:rPr>
        <w:t>3.</w:t>
      </w:r>
      <w:r>
        <w:rPr>
          <w:rFonts w:ascii="仿宋" w:eastAsia="仿宋" w:hAnsi="仿宋" w:cs="仿宋" w:hint="eastAsia"/>
          <w:color w:val="000000"/>
          <w:sz w:val="32"/>
          <w:szCs w:val="32"/>
        </w:rPr>
        <w:t>常见不良反应有：血液学不良反应，包括血小板计数减少、白细胞或中性粒细胞计数减少、血红蛋白降低；全身不良反应，包括乏力、发热；胃肠道不良反应，包括腹泻、恶心和呕吐；代谢及营养系统不良反应，包括食欲下降、低钾血症和低钙血症；以及头晕、皮疹等；极少数患者心电图会出现</w:t>
      </w:r>
      <w:r>
        <w:rPr>
          <w:rFonts w:ascii="仿宋" w:eastAsia="仿宋" w:hAnsi="仿宋" w:cs="仿宋"/>
          <w:color w:val="000000"/>
          <w:sz w:val="32"/>
          <w:szCs w:val="32"/>
        </w:rPr>
        <w:t>QT</w:t>
      </w:r>
      <w:r>
        <w:rPr>
          <w:rFonts w:ascii="仿宋" w:eastAsia="仿宋" w:hAnsi="仿宋" w:cs="仿宋" w:hint="eastAsia"/>
          <w:color w:val="000000"/>
          <w:sz w:val="32"/>
          <w:szCs w:val="32"/>
        </w:rPr>
        <w:t>间期延长。</w:t>
      </w:r>
    </w:p>
    <w:p w:rsidR="00B23A40" w:rsidRDefault="00DD1A0D">
      <w:pPr>
        <w:spacing w:line="360" w:lineRule="auto"/>
        <w:ind w:firstLineChars="200" w:firstLine="640"/>
        <w:rPr>
          <w:rFonts w:ascii="仿宋" w:eastAsia="仿宋" w:hAnsi="仿宋" w:cs="Times New Roman"/>
          <w:color w:val="000000"/>
          <w:sz w:val="32"/>
          <w:szCs w:val="32"/>
        </w:rPr>
      </w:pPr>
      <w:r>
        <w:rPr>
          <w:rFonts w:ascii="仿宋" w:eastAsia="仿宋" w:hAnsi="仿宋" w:cs="仿宋"/>
          <w:color w:val="000000"/>
          <w:sz w:val="32"/>
          <w:szCs w:val="32"/>
        </w:rPr>
        <w:t>4.</w:t>
      </w:r>
      <w:r>
        <w:rPr>
          <w:rFonts w:ascii="仿宋" w:eastAsia="仿宋" w:hAnsi="仿宋" w:cs="仿宋" w:hint="eastAsia"/>
          <w:color w:val="000000"/>
          <w:sz w:val="32"/>
          <w:szCs w:val="32"/>
        </w:rPr>
        <w:t>妊娠期女性患者、严重心功能不全患者（</w:t>
      </w:r>
      <w:r>
        <w:rPr>
          <w:rFonts w:ascii="仿宋" w:eastAsia="仿宋" w:hAnsi="仿宋" w:cs="仿宋"/>
          <w:color w:val="000000"/>
          <w:sz w:val="32"/>
          <w:szCs w:val="32"/>
        </w:rPr>
        <w:t>NYHA</w:t>
      </w:r>
      <w:r>
        <w:rPr>
          <w:rFonts w:ascii="仿宋" w:eastAsia="仿宋" w:hAnsi="仿宋" w:cs="仿宋" w:hint="eastAsia"/>
          <w:color w:val="000000"/>
          <w:sz w:val="32"/>
          <w:szCs w:val="32"/>
        </w:rPr>
        <w:t xml:space="preserve">心功能不全分级Ⅳ级）禁用。 </w:t>
      </w:r>
    </w:p>
    <w:p w:rsidR="00B23A40" w:rsidRDefault="00DD1A0D">
      <w:p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 xml:space="preserve">七、硼替佐米 </w:t>
      </w:r>
      <w:r>
        <w:rPr>
          <w:rFonts w:ascii="黑体" w:eastAsia="黑体" w:hAnsi="黑体" w:cs="黑体"/>
          <w:sz w:val="32"/>
          <w:szCs w:val="32"/>
        </w:rPr>
        <w:t>bortezomib</w:t>
      </w:r>
    </w:p>
    <w:p w:rsidR="00B23A40" w:rsidRDefault="00DD1A0D">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注射剂：</w:t>
      </w:r>
      <w:r>
        <w:rPr>
          <w:rFonts w:ascii="仿宋" w:eastAsia="仿宋" w:hAnsi="仿宋" w:cs="仿宋"/>
          <w:sz w:val="32"/>
          <w:szCs w:val="32"/>
        </w:rPr>
        <w:t>1mg</w:t>
      </w:r>
      <w:r>
        <w:rPr>
          <w:rFonts w:ascii="仿宋" w:eastAsia="仿宋" w:hAnsi="仿宋" w:cs="仿宋" w:hint="eastAsia"/>
          <w:sz w:val="32"/>
          <w:szCs w:val="32"/>
        </w:rPr>
        <w:t>、</w:t>
      </w:r>
      <w:r>
        <w:rPr>
          <w:rFonts w:ascii="仿宋" w:eastAsia="仿宋" w:hAnsi="仿宋" w:cs="仿宋"/>
          <w:sz w:val="32"/>
          <w:szCs w:val="32"/>
        </w:rPr>
        <w:t xml:space="preserve">3.5mg </w:t>
      </w:r>
    </w:p>
    <w:p w:rsidR="00B23A40" w:rsidRDefault="00DD1A0D">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适应证：</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复发套细胞淋巴瘤。</w:t>
      </w:r>
    </w:p>
    <w:p w:rsidR="00B23A40" w:rsidRDefault="00DD1A0D">
      <w:pPr>
        <w:spacing w:line="360" w:lineRule="auto"/>
        <w:ind w:firstLineChars="200" w:firstLine="640"/>
        <w:rPr>
          <w:rFonts w:ascii="仿宋" w:eastAsia="仿宋" w:hAnsi="仿宋" w:cs="Times New Roman"/>
          <w:b/>
          <w:bCs/>
          <w:sz w:val="32"/>
          <w:szCs w:val="32"/>
        </w:rPr>
      </w:pPr>
      <w:r>
        <w:rPr>
          <w:rFonts w:ascii="仿宋" w:eastAsia="仿宋" w:hAnsi="仿宋" w:cs="仿宋"/>
          <w:sz w:val="32"/>
          <w:szCs w:val="32"/>
        </w:rPr>
        <w:t>2.</w:t>
      </w:r>
      <w:r>
        <w:rPr>
          <w:rFonts w:ascii="仿宋" w:eastAsia="仿宋" w:hAnsi="仿宋" w:cs="仿宋" w:hint="eastAsia"/>
          <w:sz w:val="32"/>
          <w:szCs w:val="32"/>
        </w:rPr>
        <w:t>初治及复发难治性多发性骨髓瘤。</w:t>
      </w:r>
    </w:p>
    <w:p w:rsidR="00B23A40" w:rsidRDefault="00DD1A0D">
      <w:pPr>
        <w:spacing w:line="360" w:lineRule="auto"/>
        <w:ind w:firstLineChars="200" w:firstLine="643"/>
        <w:rPr>
          <w:rFonts w:ascii="仿宋" w:eastAsia="仿宋" w:hAnsi="仿宋" w:cs="仿宋"/>
          <w:b/>
          <w:bCs/>
          <w:sz w:val="32"/>
          <w:szCs w:val="32"/>
        </w:rPr>
      </w:pPr>
      <w:r>
        <w:rPr>
          <w:rFonts w:ascii="仿宋" w:eastAsia="仿宋" w:hAnsi="仿宋" w:cs="仿宋" w:hint="eastAsia"/>
          <w:b/>
          <w:bCs/>
          <w:sz w:val="32"/>
          <w:szCs w:val="32"/>
        </w:rPr>
        <w:t>合理用药要点：</w:t>
      </w:r>
    </w:p>
    <w:p w:rsidR="00B23A40" w:rsidRDefault="00DD1A0D">
      <w:pPr>
        <w:spacing w:line="360" w:lineRule="auto"/>
        <w:ind w:firstLineChars="200" w:firstLine="640"/>
        <w:rPr>
          <w:rFonts w:ascii="仿宋" w:eastAsia="仿宋" w:hAnsi="仿宋" w:cs="仿宋"/>
          <w:sz w:val="32"/>
          <w:szCs w:val="32"/>
        </w:rPr>
      </w:pPr>
      <w:r>
        <w:rPr>
          <w:rFonts w:ascii="仿宋" w:eastAsia="仿宋" w:hAnsi="仿宋" w:cs="仿宋" w:hint="eastAsia"/>
          <w:bCs/>
          <w:sz w:val="32"/>
          <w:szCs w:val="32"/>
        </w:rPr>
        <w:t>1.</w:t>
      </w:r>
      <w:r>
        <w:rPr>
          <w:rFonts w:ascii="仿宋" w:eastAsia="仿宋" w:hAnsi="仿宋" w:cs="仿宋" w:hint="eastAsia"/>
          <w:sz w:val="32"/>
          <w:szCs w:val="32"/>
        </w:rPr>
        <w:t>在接受本品治疗的患者中，应考虑抗病毒药物的预防治疗，降低带状疱疹再激活的风险。</w:t>
      </w:r>
    </w:p>
    <w:p w:rsidR="00B23A40" w:rsidRDefault="00DD1A0D">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2.本品含有甘露醇，在患者初次试用药物时，需要询问过敏史及既往病史，警惕高肿瘤负荷患者发生肿瘤溶解综合</w:t>
      </w:r>
      <w:r>
        <w:rPr>
          <w:rFonts w:ascii="仿宋" w:eastAsia="仿宋" w:hAnsi="仿宋" w:cs="仿宋" w:hint="eastAsia"/>
          <w:sz w:val="32"/>
          <w:szCs w:val="32"/>
        </w:rPr>
        <w:lastRenderedPageBreak/>
        <w:t>征。</w:t>
      </w:r>
    </w:p>
    <w:p w:rsidR="00B23A40" w:rsidRDefault="00DD1A0D">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3.计算给药体积需仔细。</w:t>
      </w:r>
    </w:p>
    <w:p w:rsidR="00B23A40" w:rsidRDefault="00DD1A0D">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4.药物具有细胞毒性，配制时需要戴手套和防护用品，避免皮肤直接接触。</w:t>
      </w:r>
    </w:p>
    <w:p w:rsidR="00B23A40" w:rsidRDefault="00DD1A0D">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sz w:val="32"/>
          <w:szCs w:val="32"/>
        </w:rPr>
        <w:t>.</w:t>
      </w:r>
      <w:r>
        <w:rPr>
          <w:rFonts w:ascii="仿宋" w:eastAsia="仿宋" w:hAnsi="仿宋" w:cs="仿宋" w:hint="eastAsia"/>
          <w:sz w:val="32"/>
          <w:szCs w:val="32"/>
        </w:rPr>
        <w:t>肾功能损伤患者使用无需减量，进行透析的患者应在透析后使用。</w:t>
      </w:r>
    </w:p>
    <w:p w:rsidR="00B23A40" w:rsidRDefault="00DD1A0D">
      <w:pPr>
        <w:spacing w:line="360" w:lineRule="auto"/>
        <w:ind w:firstLineChars="200" w:firstLine="640"/>
        <w:rPr>
          <w:rFonts w:ascii="仿宋" w:eastAsia="仿宋" w:hAnsi="仿宋" w:cs="仿宋"/>
          <w:b/>
          <w:bCs/>
          <w:sz w:val="32"/>
          <w:szCs w:val="32"/>
        </w:rPr>
      </w:pPr>
      <w:r>
        <w:rPr>
          <w:rFonts w:ascii="仿宋" w:eastAsia="仿宋" w:hAnsi="仿宋" w:cs="仿宋" w:hint="eastAsia"/>
          <w:sz w:val="32"/>
          <w:szCs w:val="32"/>
        </w:rPr>
        <w:t>6.不良反应包括神经系统症状（包括肠梗阻）、病毒激活、血液系统骨髓抑制等，少见情况还可以出现急性肺损伤、胰腺炎等。</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7</w:t>
      </w:r>
      <w:r>
        <w:rPr>
          <w:rFonts w:ascii="仿宋" w:eastAsia="仿宋" w:hAnsi="仿宋" w:cs="仿宋"/>
          <w:sz w:val="32"/>
          <w:szCs w:val="32"/>
        </w:rPr>
        <w:t>.</w:t>
      </w:r>
      <w:r>
        <w:rPr>
          <w:rFonts w:ascii="仿宋" w:eastAsia="仿宋" w:hAnsi="仿宋" w:cs="仿宋" w:hint="eastAsia"/>
          <w:sz w:val="32"/>
          <w:szCs w:val="32"/>
        </w:rPr>
        <w:t>不推荐联用强效的</w:t>
      </w:r>
      <w:r>
        <w:rPr>
          <w:rFonts w:ascii="仿宋" w:eastAsia="仿宋" w:hAnsi="仿宋" w:cs="仿宋"/>
          <w:sz w:val="32"/>
          <w:szCs w:val="32"/>
        </w:rPr>
        <w:t>CYP3A4</w:t>
      </w:r>
      <w:r>
        <w:rPr>
          <w:rFonts w:ascii="仿宋" w:eastAsia="仿宋" w:hAnsi="仿宋" w:cs="仿宋" w:hint="eastAsia"/>
          <w:sz w:val="32"/>
          <w:szCs w:val="32"/>
        </w:rPr>
        <w:t>抑制剂。如果无法避免合并用药，则应对毒性反应进行密切监测。</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8</w:t>
      </w:r>
      <w:r>
        <w:rPr>
          <w:rFonts w:ascii="仿宋" w:eastAsia="仿宋" w:hAnsi="仿宋" w:cs="仿宋"/>
          <w:sz w:val="32"/>
          <w:szCs w:val="32"/>
        </w:rPr>
        <w:t>.</w:t>
      </w:r>
      <w:r>
        <w:rPr>
          <w:rFonts w:ascii="仿宋" w:eastAsia="仿宋" w:hAnsi="仿宋" w:cs="仿宋" w:hint="eastAsia"/>
          <w:sz w:val="32"/>
          <w:szCs w:val="32"/>
        </w:rPr>
        <w:t>硼替佐米皮下注射具有与静脉推注同样的疗效，且神经病变发生率更低。</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9</w:t>
      </w:r>
      <w:r>
        <w:rPr>
          <w:rFonts w:ascii="仿宋" w:eastAsia="仿宋" w:hAnsi="仿宋" w:cs="仿宋"/>
          <w:sz w:val="32"/>
          <w:szCs w:val="32"/>
        </w:rPr>
        <w:t>.</w:t>
      </w:r>
      <w:r>
        <w:rPr>
          <w:rFonts w:ascii="仿宋" w:eastAsia="仿宋" w:hAnsi="仿宋" w:cs="仿宋" w:hint="eastAsia"/>
          <w:sz w:val="32"/>
          <w:szCs w:val="32"/>
        </w:rPr>
        <w:t>多发性骨髓瘤需要具有治疗指征，即以下其中之一：肾功能异常、血钙升高、贫血及骨质破坏、血清游离轻链比值大于</w:t>
      </w:r>
      <w:r>
        <w:rPr>
          <w:rFonts w:ascii="仿宋" w:eastAsia="仿宋" w:hAnsi="仿宋" w:cs="仿宋"/>
          <w:sz w:val="32"/>
          <w:szCs w:val="32"/>
        </w:rPr>
        <w:t>100</w:t>
      </w:r>
      <w:r>
        <w:rPr>
          <w:rFonts w:ascii="仿宋" w:eastAsia="仿宋" w:hAnsi="仿宋" w:cs="仿宋" w:hint="eastAsia"/>
          <w:sz w:val="32"/>
          <w:szCs w:val="32"/>
        </w:rPr>
        <w:t>、骨髓中克隆浆细胞大于</w:t>
      </w:r>
      <w:r>
        <w:rPr>
          <w:rFonts w:ascii="仿宋" w:eastAsia="仿宋" w:hAnsi="仿宋" w:cs="仿宋"/>
          <w:sz w:val="32"/>
          <w:szCs w:val="32"/>
        </w:rPr>
        <w:t>60%</w:t>
      </w:r>
      <w:r>
        <w:rPr>
          <w:rFonts w:ascii="仿宋" w:eastAsia="仿宋" w:hAnsi="仿宋" w:cs="仿宋" w:hint="eastAsia"/>
          <w:sz w:val="32"/>
          <w:szCs w:val="32"/>
        </w:rPr>
        <w:t>、核磁证实</w:t>
      </w:r>
      <w:r>
        <w:rPr>
          <w:rFonts w:ascii="仿宋" w:eastAsia="仿宋" w:hAnsi="仿宋" w:cs="仿宋"/>
          <w:sz w:val="32"/>
          <w:szCs w:val="32"/>
        </w:rPr>
        <w:t>2</w:t>
      </w:r>
      <w:r>
        <w:rPr>
          <w:rFonts w:ascii="仿宋" w:eastAsia="仿宋" w:hAnsi="仿宋" w:cs="仿宋" w:hint="eastAsia"/>
          <w:sz w:val="32"/>
          <w:szCs w:val="32"/>
        </w:rPr>
        <w:t>处或以上骨质破坏才需要治疗。不符合以上标准的冒烟性多发性骨髓瘤目前不建议进行治疗，包括硼替佐米的治疗。</w:t>
      </w:r>
    </w:p>
    <w:p w:rsidR="00B23A40" w:rsidRDefault="00DD1A0D">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vertAlign w:val="superscript"/>
        </w:rPr>
        <w:t>※</w:t>
      </w:r>
      <w:r>
        <w:rPr>
          <w:rFonts w:ascii="仿宋" w:eastAsia="仿宋" w:hAnsi="仿宋" w:cs="仿宋" w:hint="eastAsia"/>
          <w:sz w:val="32"/>
          <w:szCs w:val="32"/>
        </w:rPr>
        <w:t>10</w:t>
      </w:r>
      <w:r>
        <w:rPr>
          <w:rFonts w:ascii="仿宋" w:eastAsia="仿宋" w:hAnsi="仿宋" w:cs="仿宋"/>
          <w:sz w:val="32"/>
          <w:szCs w:val="32"/>
        </w:rPr>
        <w:t>.</w:t>
      </w:r>
      <w:r>
        <w:rPr>
          <w:rFonts w:ascii="仿宋" w:eastAsia="仿宋" w:hAnsi="仿宋" w:cs="仿宋" w:hint="eastAsia"/>
          <w:sz w:val="32"/>
          <w:szCs w:val="32"/>
        </w:rPr>
        <w:t>硼替佐米应用于初治套细胞淋巴瘤（</w:t>
      </w:r>
      <w:r>
        <w:rPr>
          <w:rFonts w:ascii="仿宋" w:eastAsia="仿宋" w:hAnsi="仿宋" w:cs="仿宋"/>
          <w:sz w:val="32"/>
          <w:szCs w:val="32"/>
        </w:rPr>
        <w:t>FDA</w:t>
      </w:r>
      <w:r>
        <w:rPr>
          <w:rFonts w:ascii="仿宋" w:eastAsia="仿宋" w:hAnsi="仿宋" w:cs="仿宋" w:hint="eastAsia"/>
          <w:sz w:val="32"/>
          <w:szCs w:val="32"/>
        </w:rPr>
        <w:t>已获批，基于</w:t>
      </w:r>
      <w:r>
        <w:rPr>
          <w:rFonts w:ascii="仿宋" w:eastAsia="仿宋" w:hAnsi="仿宋" w:cs="仿宋"/>
          <w:sz w:val="32"/>
          <w:szCs w:val="32"/>
        </w:rPr>
        <w:t>LYM-3002</w:t>
      </w:r>
      <w:r>
        <w:rPr>
          <w:rFonts w:ascii="仿宋" w:eastAsia="仿宋" w:hAnsi="仿宋" w:cs="仿宋" w:hint="eastAsia"/>
          <w:sz w:val="32"/>
          <w:szCs w:val="32"/>
        </w:rPr>
        <w:t>研究）。</w:t>
      </w:r>
    </w:p>
    <w:p w:rsidR="00B23A40" w:rsidRDefault="00DD1A0D">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vertAlign w:val="superscript"/>
        </w:rPr>
        <w:t>※</w:t>
      </w:r>
      <w:r>
        <w:rPr>
          <w:rFonts w:ascii="仿宋" w:eastAsia="仿宋" w:hAnsi="仿宋" w:cs="仿宋" w:hint="eastAsia"/>
          <w:sz w:val="32"/>
          <w:szCs w:val="32"/>
        </w:rPr>
        <w:t>11</w:t>
      </w:r>
      <w:r>
        <w:rPr>
          <w:rFonts w:ascii="仿宋" w:eastAsia="仿宋" w:hAnsi="仿宋" w:cs="仿宋"/>
          <w:sz w:val="32"/>
          <w:szCs w:val="32"/>
        </w:rPr>
        <w:t>.</w:t>
      </w:r>
      <w:r>
        <w:rPr>
          <w:rFonts w:ascii="仿宋" w:eastAsia="仿宋" w:hAnsi="仿宋" w:cs="仿宋" w:hint="eastAsia"/>
          <w:sz w:val="32"/>
          <w:szCs w:val="32"/>
        </w:rPr>
        <w:t>华氏巨球蛋白血症（</w:t>
      </w:r>
      <w:r>
        <w:rPr>
          <w:rFonts w:ascii="仿宋" w:eastAsia="仿宋" w:hAnsi="仿宋" w:cs="仿宋"/>
          <w:sz w:val="32"/>
          <w:szCs w:val="32"/>
        </w:rPr>
        <w:t>FDA</w:t>
      </w:r>
      <w:r>
        <w:rPr>
          <w:rFonts w:ascii="仿宋" w:eastAsia="仿宋" w:hAnsi="仿宋" w:cs="仿宋" w:hint="eastAsia"/>
          <w:sz w:val="32"/>
          <w:szCs w:val="32"/>
        </w:rPr>
        <w:t>已批准）。</w:t>
      </w:r>
    </w:p>
    <w:p w:rsidR="00B23A40" w:rsidRDefault="00DD1A0D">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vertAlign w:val="superscript"/>
        </w:rPr>
        <w:t>※</w:t>
      </w:r>
      <w:r>
        <w:rPr>
          <w:rFonts w:ascii="仿宋" w:eastAsia="仿宋" w:hAnsi="仿宋" w:cs="仿宋" w:hint="eastAsia"/>
          <w:sz w:val="32"/>
          <w:szCs w:val="32"/>
        </w:rPr>
        <w:t>12</w:t>
      </w:r>
      <w:r>
        <w:rPr>
          <w:rFonts w:ascii="仿宋" w:eastAsia="仿宋" w:hAnsi="仿宋" w:cs="仿宋"/>
          <w:sz w:val="32"/>
          <w:szCs w:val="32"/>
        </w:rPr>
        <w:t>.</w:t>
      </w:r>
      <w:r>
        <w:rPr>
          <w:rFonts w:ascii="仿宋" w:eastAsia="仿宋" w:hAnsi="仿宋" w:cs="仿宋" w:hint="eastAsia"/>
          <w:sz w:val="32"/>
          <w:szCs w:val="32"/>
        </w:rPr>
        <w:t>其他罕见浆细胞病，如轻链型淀粉样变性（仅有</w:t>
      </w:r>
      <w:r>
        <w:rPr>
          <w:rFonts w:ascii="仿宋" w:eastAsia="仿宋" w:hAnsi="仿宋" w:cs="仿宋" w:hint="eastAsia"/>
          <w:sz w:val="32"/>
          <w:szCs w:val="32"/>
        </w:rPr>
        <w:lastRenderedPageBreak/>
        <w:t>Ⅰ～Ⅱ期数据）、</w:t>
      </w:r>
      <w:r>
        <w:rPr>
          <w:rFonts w:ascii="仿宋" w:eastAsia="仿宋" w:hAnsi="仿宋" w:cs="仿宋"/>
          <w:sz w:val="32"/>
          <w:szCs w:val="32"/>
        </w:rPr>
        <w:t>POEMS</w:t>
      </w:r>
      <w:r>
        <w:rPr>
          <w:rFonts w:ascii="仿宋" w:eastAsia="仿宋" w:hAnsi="仿宋" w:cs="仿宋" w:hint="eastAsia"/>
          <w:sz w:val="32"/>
          <w:szCs w:val="32"/>
        </w:rPr>
        <w:t>（仅Ⅰ～Ⅱ期数据）、</w:t>
      </w:r>
      <w:r>
        <w:rPr>
          <w:rFonts w:ascii="仿宋" w:eastAsia="仿宋" w:hAnsi="仿宋" w:cs="仿宋"/>
          <w:sz w:val="32"/>
          <w:szCs w:val="32"/>
        </w:rPr>
        <w:t>MGRS</w:t>
      </w:r>
      <w:r>
        <w:rPr>
          <w:rFonts w:ascii="仿宋" w:eastAsia="仿宋" w:hAnsi="仿宋" w:cs="仿宋" w:hint="eastAsia"/>
          <w:sz w:val="32"/>
          <w:szCs w:val="32"/>
        </w:rPr>
        <w:t>（意义未明单</w:t>
      </w:r>
      <w:r>
        <w:rPr>
          <w:rFonts w:ascii="仿宋" w:eastAsia="仿宋" w:hAnsi="仿宋" w:cs="仿宋" w:hint="eastAsia"/>
          <w:w w:val="98"/>
          <w:sz w:val="32"/>
          <w:szCs w:val="32"/>
        </w:rPr>
        <w:t>克隆免疫球蛋白血症伴肾脏损伤，仅有Ⅰ～Ⅱ期数据）等治疗。</w:t>
      </w:r>
    </w:p>
    <w:p w:rsidR="00B23A40" w:rsidRDefault="00DD1A0D">
      <w:pPr>
        <w:ind w:firstLineChars="200" w:firstLine="640"/>
        <w:rPr>
          <w:rFonts w:ascii="黑体" w:eastAsia="黑体" w:hAnsi="黑体"/>
          <w:color w:val="000000"/>
          <w:sz w:val="32"/>
          <w:szCs w:val="32"/>
        </w:rPr>
      </w:pPr>
      <w:r>
        <w:rPr>
          <w:rFonts w:ascii="黑体" w:eastAsia="黑体" w:hAnsi="黑体" w:hint="eastAsia"/>
          <w:color w:val="000000"/>
          <w:sz w:val="32"/>
          <w:szCs w:val="32"/>
        </w:rPr>
        <w:t xml:space="preserve">八、信迪利单抗 </w:t>
      </w:r>
      <w:r>
        <w:rPr>
          <w:rFonts w:ascii="黑体" w:eastAsia="黑体" w:hAnsi="黑体"/>
          <w:color w:val="000000"/>
          <w:sz w:val="32"/>
          <w:szCs w:val="32"/>
        </w:rPr>
        <w:t>sintilimab</w:t>
      </w:r>
    </w:p>
    <w:p w:rsidR="00B23A40" w:rsidRDefault="00DD1A0D">
      <w:pPr>
        <w:ind w:firstLineChars="200" w:firstLine="643"/>
        <w:rPr>
          <w:rFonts w:ascii="仿宋" w:eastAsia="仿宋" w:hAnsi="仿宋"/>
          <w:color w:val="000000"/>
          <w:sz w:val="32"/>
          <w:szCs w:val="32"/>
        </w:rPr>
      </w:pPr>
      <w:r>
        <w:rPr>
          <w:rFonts w:ascii="仿宋" w:eastAsia="仿宋" w:hAnsi="仿宋" w:hint="eastAsia"/>
          <w:b/>
          <w:color w:val="000000"/>
          <w:sz w:val="32"/>
          <w:szCs w:val="32"/>
        </w:rPr>
        <w:t>制剂与规格：</w:t>
      </w:r>
      <w:r>
        <w:rPr>
          <w:rFonts w:ascii="仿宋" w:eastAsia="仿宋" w:hAnsi="仿宋" w:cs="仿宋" w:hint="eastAsia"/>
          <w:sz w:val="32"/>
          <w:szCs w:val="32"/>
        </w:rPr>
        <w:t>注射液：</w:t>
      </w:r>
      <w:r>
        <w:rPr>
          <w:rFonts w:ascii="仿宋" w:eastAsia="仿宋" w:hAnsi="仿宋" w:cs="仿宋"/>
          <w:sz w:val="32"/>
          <w:szCs w:val="32"/>
        </w:rPr>
        <w:t>100mg</w:t>
      </w:r>
      <w:r>
        <w:rPr>
          <w:rFonts w:ascii="仿宋" w:eastAsia="仿宋" w:hAnsi="仿宋" w:cs="仿宋" w:hint="eastAsia"/>
          <w:sz w:val="32"/>
          <w:szCs w:val="32"/>
        </w:rPr>
        <w:t>（10</w:t>
      </w:r>
      <w:r>
        <w:rPr>
          <w:rFonts w:ascii="仿宋" w:eastAsia="仿宋" w:hAnsi="仿宋" w:cs="仿宋"/>
          <w:sz w:val="32"/>
          <w:szCs w:val="32"/>
        </w:rPr>
        <w:t>ml</w:t>
      </w:r>
      <w:r>
        <w:rPr>
          <w:rFonts w:ascii="仿宋" w:eastAsia="仿宋" w:hAnsi="仿宋" w:cs="仿宋" w:hint="eastAsia"/>
          <w:sz w:val="32"/>
          <w:szCs w:val="32"/>
        </w:rPr>
        <w:t>）</w:t>
      </w:r>
      <w:r>
        <w:rPr>
          <w:rFonts w:ascii="仿宋" w:eastAsia="仿宋" w:hAnsi="仿宋" w:cs="仿宋"/>
          <w:sz w:val="32"/>
          <w:szCs w:val="32"/>
        </w:rPr>
        <w:t>/</w:t>
      </w:r>
      <w:r>
        <w:rPr>
          <w:rFonts w:ascii="仿宋" w:eastAsia="仿宋" w:hAnsi="仿宋" w:cs="仿宋" w:hint="eastAsia"/>
          <w:sz w:val="32"/>
          <w:szCs w:val="32"/>
        </w:rPr>
        <w:t>瓶</w:t>
      </w:r>
    </w:p>
    <w:p w:rsidR="00B23A40" w:rsidRDefault="00DD1A0D">
      <w:pPr>
        <w:ind w:firstLineChars="200" w:firstLine="643"/>
        <w:rPr>
          <w:rFonts w:ascii="仿宋" w:eastAsia="仿宋" w:hAnsi="仿宋"/>
          <w:color w:val="000000"/>
          <w:sz w:val="32"/>
          <w:szCs w:val="32"/>
        </w:rPr>
      </w:pPr>
      <w:r>
        <w:rPr>
          <w:rFonts w:ascii="仿宋" w:eastAsia="仿宋" w:hAnsi="仿宋" w:hint="eastAsia"/>
          <w:b/>
          <w:color w:val="000000"/>
          <w:sz w:val="32"/>
          <w:szCs w:val="32"/>
        </w:rPr>
        <w:t>适应证：</w:t>
      </w:r>
      <w:r>
        <w:rPr>
          <w:rFonts w:ascii="仿宋" w:eastAsia="仿宋" w:hAnsi="仿宋" w:hint="eastAsia"/>
          <w:color w:val="000000"/>
          <w:sz w:val="32"/>
          <w:szCs w:val="32"/>
        </w:rPr>
        <w:t>本品适用于至少经过二线系统化疗的复发或难治经典型霍奇金淋巴瘤的治疗。</w:t>
      </w:r>
    </w:p>
    <w:p w:rsidR="00B23A40" w:rsidRDefault="00DD1A0D">
      <w:pPr>
        <w:ind w:firstLineChars="200" w:firstLine="643"/>
        <w:rPr>
          <w:rFonts w:ascii="仿宋" w:eastAsia="仿宋" w:hAnsi="仿宋"/>
          <w:b/>
          <w:color w:val="000000"/>
          <w:sz w:val="32"/>
          <w:szCs w:val="32"/>
        </w:rPr>
      </w:pPr>
      <w:r>
        <w:rPr>
          <w:rFonts w:ascii="仿宋" w:eastAsia="仿宋" w:hAnsi="仿宋" w:hint="eastAsia"/>
          <w:b/>
          <w:color w:val="000000"/>
          <w:sz w:val="32"/>
          <w:szCs w:val="32"/>
        </w:rPr>
        <w:t xml:space="preserve">合理用药要点： </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1.用药前必须明确诊断为经典型霍奇金淋巴瘤。</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2.应该按照相关疾病指南，治疗前做基线评估，治疗期间定期监测治疗反应及毒性。</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3.本品采用静脉输注的方式给药，静脉输注的推荐剂量为200mg，每3周给药一次，直至疾病进展或出现不可接受的毒性。</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4.有可能观察到非典型反应（例如最初几个月内肿瘤暂时增大或出现新的病灶，随后肿瘤缩小）。如果患者临床症状稳定或持续减轻，即使有疾病进展的初步证据，基于总体临床获益的判断，可考虑继续应用本品治疗，直至证实疾病进展。</w:t>
      </w:r>
    </w:p>
    <w:p w:rsidR="00B23A40" w:rsidRDefault="00DD1A0D">
      <w:pPr>
        <w:ind w:firstLineChars="200" w:firstLine="640"/>
        <w:rPr>
          <w:rFonts w:ascii="仿宋" w:eastAsia="仿宋" w:hAnsi="仿宋"/>
          <w:b/>
          <w:color w:val="000000"/>
          <w:sz w:val="32"/>
          <w:szCs w:val="32"/>
        </w:rPr>
      </w:pPr>
      <w:r>
        <w:rPr>
          <w:rFonts w:ascii="仿宋" w:eastAsia="仿宋" w:hAnsi="仿宋" w:hint="eastAsia"/>
          <w:color w:val="000000"/>
          <w:sz w:val="32"/>
          <w:szCs w:val="32"/>
        </w:rPr>
        <w:t>5.如出现以下免疫相关性不良反应，根据个体患者的安全性和耐受性，可能需要暂停给药或永久停药。不建议增加</w:t>
      </w:r>
      <w:r>
        <w:rPr>
          <w:rFonts w:ascii="仿宋" w:eastAsia="仿宋" w:hAnsi="仿宋" w:hint="eastAsia"/>
          <w:color w:val="000000"/>
          <w:w w:val="96"/>
          <w:sz w:val="32"/>
          <w:szCs w:val="32"/>
        </w:rPr>
        <w:t>或减少剂量。有关暂停给药和永久停药的指南，详见表</w:t>
      </w:r>
      <w:r>
        <w:rPr>
          <w:rFonts w:ascii="仿宋" w:eastAsia="仿宋" w:hAnsi="仿宋" w:hint="eastAsia"/>
          <w:w w:val="96"/>
          <w:sz w:val="32"/>
          <w:szCs w:val="32"/>
        </w:rPr>
        <w:t>3</w:t>
      </w:r>
      <w:r>
        <w:rPr>
          <w:rFonts w:ascii="仿宋" w:eastAsia="仿宋" w:hAnsi="仿宋" w:hint="eastAsia"/>
          <w:color w:val="000000"/>
          <w:w w:val="96"/>
          <w:sz w:val="32"/>
          <w:szCs w:val="32"/>
        </w:rPr>
        <w:t>所述。</w:t>
      </w:r>
    </w:p>
    <w:p w:rsidR="00B23A40" w:rsidRDefault="00DD1A0D">
      <w:pPr>
        <w:jc w:val="center"/>
        <w:rPr>
          <w:rFonts w:ascii="仿宋" w:eastAsia="仿宋" w:hAnsi="仿宋"/>
          <w:b/>
          <w:color w:val="000000"/>
        </w:rPr>
      </w:pPr>
      <w:r>
        <w:rPr>
          <w:rFonts w:ascii="仿宋" w:eastAsia="仿宋" w:hAnsi="仿宋" w:hint="eastAsia"/>
          <w:b/>
          <w:color w:val="000000"/>
        </w:rPr>
        <w:lastRenderedPageBreak/>
        <w:t>表</w:t>
      </w:r>
      <w:r>
        <w:rPr>
          <w:rFonts w:ascii="仿宋" w:eastAsia="仿宋" w:hAnsi="仿宋" w:hint="eastAsia"/>
          <w:b/>
        </w:rPr>
        <w:t>3</w:t>
      </w:r>
      <w:r>
        <w:rPr>
          <w:rFonts w:ascii="仿宋" w:eastAsia="仿宋" w:hAnsi="仿宋" w:hint="eastAsia"/>
          <w:b/>
          <w:color w:val="000000"/>
        </w:rPr>
        <w:t xml:space="preserve">  信迪利单抗治疗调整方案</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536"/>
        <w:gridCol w:w="3402"/>
      </w:tblGrid>
      <w:tr w:rsidR="00B23A40">
        <w:tc>
          <w:tcPr>
            <w:tcW w:w="1843" w:type="dxa"/>
          </w:tcPr>
          <w:p w:rsidR="00B23A40" w:rsidRDefault="00DD1A0D">
            <w:pPr>
              <w:rPr>
                <w:rFonts w:ascii="仿宋" w:eastAsia="仿宋" w:hAnsi="仿宋"/>
                <w:b/>
                <w:color w:val="000000"/>
              </w:rPr>
            </w:pPr>
            <w:r>
              <w:rPr>
                <w:rFonts w:ascii="仿宋" w:eastAsia="仿宋" w:hAnsi="仿宋" w:hint="eastAsia"/>
                <w:b/>
                <w:color w:val="000000"/>
              </w:rPr>
              <w:t>免疫相关性不良反应</w:t>
            </w:r>
          </w:p>
        </w:tc>
        <w:tc>
          <w:tcPr>
            <w:tcW w:w="4536" w:type="dxa"/>
          </w:tcPr>
          <w:p w:rsidR="00B23A40" w:rsidRDefault="00DD1A0D">
            <w:pPr>
              <w:rPr>
                <w:rFonts w:ascii="仿宋" w:eastAsia="仿宋" w:hAnsi="仿宋"/>
                <w:b/>
                <w:color w:val="000000"/>
              </w:rPr>
            </w:pPr>
            <w:r>
              <w:rPr>
                <w:rFonts w:ascii="仿宋" w:eastAsia="仿宋" w:hAnsi="仿宋" w:hint="eastAsia"/>
                <w:b/>
                <w:color w:val="000000"/>
              </w:rPr>
              <w:t>严重程度</w:t>
            </w:r>
          </w:p>
        </w:tc>
        <w:tc>
          <w:tcPr>
            <w:tcW w:w="3402" w:type="dxa"/>
          </w:tcPr>
          <w:p w:rsidR="00B23A40" w:rsidRDefault="00DD1A0D">
            <w:pPr>
              <w:rPr>
                <w:rFonts w:ascii="仿宋" w:eastAsia="仿宋" w:hAnsi="仿宋"/>
                <w:b/>
                <w:color w:val="000000"/>
              </w:rPr>
            </w:pPr>
            <w:r>
              <w:rPr>
                <w:rFonts w:ascii="仿宋" w:eastAsia="仿宋" w:hAnsi="仿宋" w:hint="eastAsia"/>
                <w:b/>
                <w:color w:val="000000"/>
              </w:rPr>
              <w:t>治疗调整</w:t>
            </w:r>
          </w:p>
        </w:tc>
      </w:tr>
      <w:tr w:rsidR="00B23A40">
        <w:tc>
          <w:tcPr>
            <w:tcW w:w="1843" w:type="dxa"/>
            <w:vMerge w:val="restart"/>
          </w:tcPr>
          <w:p w:rsidR="00B23A40" w:rsidRDefault="00DD1A0D">
            <w:pPr>
              <w:rPr>
                <w:rFonts w:ascii="仿宋" w:eastAsia="仿宋" w:hAnsi="仿宋"/>
                <w:color w:val="000000"/>
              </w:rPr>
            </w:pPr>
            <w:r>
              <w:rPr>
                <w:rFonts w:ascii="仿宋" w:eastAsia="仿宋" w:hAnsi="仿宋" w:hint="eastAsia"/>
                <w:color w:val="000000"/>
              </w:rPr>
              <w:t>肺炎</w:t>
            </w:r>
          </w:p>
        </w:tc>
        <w:tc>
          <w:tcPr>
            <w:tcW w:w="4536" w:type="dxa"/>
          </w:tcPr>
          <w:p w:rsidR="00B23A40" w:rsidRDefault="00DD1A0D">
            <w:pPr>
              <w:rPr>
                <w:rFonts w:ascii="仿宋" w:eastAsia="仿宋" w:hAnsi="仿宋"/>
                <w:color w:val="000000"/>
              </w:rPr>
            </w:pPr>
            <w:r>
              <w:rPr>
                <w:rFonts w:ascii="仿宋" w:eastAsia="仿宋" w:hAnsi="仿宋" w:hint="eastAsia"/>
                <w:color w:val="000000"/>
              </w:rPr>
              <w:t>2级</w:t>
            </w:r>
          </w:p>
        </w:tc>
        <w:tc>
          <w:tcPr>
            <w:tcW w:w="3402" w:type="dxa"/>
          </w:tcPr>
          <w:p w:rsidR="00B23A40" w:rsidRDefault="00DD1A0D">
            <w:pPr>
              <w:rPr>
                <w:rFonts w:ascii="仿宋" w:eastAsia="仿宋" w:hAnsi="仿宋"/>
                <w:color w:val="000000"/>
              </w:rPr>
            </w:pPr>
            <w:r>
              <w:rPr>
                <w:rFonts w:ascii="仿宋" w:eastAsia="仿宋" w:hAnsi="仿宋" w:hint="eastAsia"/>
                <w:color w:val="000000"/>
              </w:rPr>
              <w:t>暂停给药，直至不良反应恢复至0～</w:t>
            </w:r>
            <w:r>
              <w:rPr>
                <w:rFonts w:ascii="仿宋" w:eastAsia="仿宋" w:hAnsi="仿宋"/>
                <w:color w:val="000000"/>
              </w:rPr>
              <w:t>1</w:t>
            </w:r>
            <w:r>
              <w:rPr>
                <w:rFonts w:ascii="仿宋" w:eastAsia="仿宋" w:hAnsi="仿宋" w:hint="eastAsia"/>
                <w:color w:val="000000"/>
              </w:rPr>
              <w:t>级</w:t>
            </w:r>
          </w:p>
        </w:tc>
      </w:tr>
      <w:tr w:rsidR="00B23A40">
        <w:tc>
          <w:tcPr>
            <w:tcW w:w="1843" w:type="dxa"/>
            <w:vMerge/>
          </w:tcPr>
          <w:p w:rsidR="00B23A40" w:rsidRDefault="00B23A40">
            <w:pPr>
              <w:rPr>
                <w:rFonts w:ascii="仿宋" w:eastAsia="仿宋" w:hAnsi="仿宋"/>
                <w:color w:val="000000"/>
              </w:rPr>
            </w:pPr>
          </w:p>
        </w:tc>
        <w:tc>
          <w:tcPr>
            <w:tcW w:w="4536" w:type="dxa"/>
          </w:tcPr>
          <w:p w:rsidR="00B23A40" w:rsidRDefault="00DD1A0D">
            <w:pPr>
              <w:rPr>
                <w:rFonts w:ascii="仿宋" w:eastAsia="仿宋" w:hAnsi="仿宋"/>
                <w:color w:val="000000"/>
              </w:rPr>
            </w:pPr>
            <w:r>
              <w:rPr>
                <w:rFonts w:ascii="仿宋" w:eastAsia="仿宋" w:hAnsi="仿宋" w:hint="eastAsia"/>
                <w:color w:val="000000"/>
              </w:rPr>
              <w:t>3～</w:t>
            </w:r>
            <w:r>
              <w:rPr>
                <w:rFonts w:ascii="仿宋" w:eastAsia="仿宋" w:hAnsi="仿宋"/>
                <w:color w:val="000000"/>
              </w:rPr>
              <w:t>4</w:t>
            </w:r>
            <w:r>
              <w:rPr>
                <w:rFonts w:ascii="仿宋" w:eastAsia="仿宋" w:hAnsi="仿宋" w:hint="eastAsia"/>
                <w:color w:val="000000"/>
              </w:rPr>
              <w:t>级或复发性2级</w:t>
            </w:r>
          </w:p>
        </w:tc>
        <w:tc>
          <w:tcPr>
            <w:tcW w:w="3402" w:type="dxa"/>
          </w:tcPr>
          <w:p w:rsidR="00B23A40" w:rsidRDefault="00DD1A0D">
            <w:pPr>
              <w:rPr>
                <w:rFonts w:ascii="仿宋" w:eastAsia="仿宋" w:hAnsi="仿宋"/>
                <w:color w:val="000000"/>
              </w:rPr>
            </w:pPr>
            <w:r>
              <w:rPr>
                <w:rFonts w:ascii="仿宋" w:eastAsia="仿宋" w:hAnsi="仿宋" w:hint="eastAsia"/>
                <w:color w:val="000000"/>
              </w:rPr>
              <w:t>永久停药</w:t>
            </w:r>
          </w:p>
        </w:tc>
      </w:tr>
      <w:tr w:rsidR="00B23A40">
        <w:tc>
          <w:tcPr>
            <w:tcW w:w="1843" w:type="dxa"/>
            <w:vMerge w:val="restart"/>
          </w:tcPr>
          <w:p w:rsidR="00B23A40" w:rsidRDefault="00DD1A0D">
            <w:pPr>
              <w:rPr>
                <w:rFonts w:ascii="仿宋" w:eastAsia="仿宋" w:hAnsi="仿宋"/>
                <w:color w:val="000000"/>
              </w:rPr>
            </w:pPr>
            <w:r>
              <w:rPr>
                <w:rFonts w:ascii="仿宋" w:eastAsia="仿宋" w:hAnsi="仿宋" w:hint="eastAsia"/>
                <w:color w:val="000000"/>
              </w:rPr>
              <w:t>腹泻及结肠炎</w:t>
            </w:r>
          </w:p>
        </w:tc>
        <w:tc>
          <w:tcPr>
            <w:tcW w:w="4536" w:type="dxa"/>
          </w:tcPr>
          <w:p w:rsidR="00B23A40" w:rsidRDefault="00DD1A0D">
            <w:pPr>
              <w:rPr>
                <w:rFonts w:ascii="仿宋" w:eastAsia="仿宋" w:hAnsi="仿宋"/>
                <w:color w:val="000000"/>
              </w:rPr>
            </w:pPr>
            <w:r>
              <w:rPr>
                <w:rFonts w:ascii="仿宋" w:eastAsia="仿宋" w:hAnsi="仿宋" w:hint="eastAsia"/>
                <w:color w:val="000000"/>
              </w:rPr>
              <w:t>2级或3级</w:t>
            </w:r>
          </w:p>
        </w:tc>
        <w:tc>
          <w:tcPr>
            <w:tcW w:w="3402" w:type="dxa"/>
          </w:tcPr>
          <w:p w:rsidR="00B23A40" w:rsidRDefault="00DD1A0D">
            <w:pPr>
              <w:rPr>
                <w:rFonts w:ascii="仿宋" w:eastAsia="仿宋" w:hAnsi="仿宋"/>
                <w:color w:val="000000"/>
              </w:rPr>
            </w:pPr>
            <w:r>
              <w:rPr>
                <w:rFonts w:ascii="仿宋" w:eastAsia="仿宋" w:hAnsi="仿宋" w:hint="eastAsia"/>
                <w:color w:val="000000"/>
              </w:rPr>
              <w:t>暂停给药，直至不良反应恢复至0～</w:t>
            </w:r>
            <w:r>
              <w:rPr>
                <w:rFonts w:ascii="仿宋" w:eastAsia="仿宋" w:hAnsi="仿宋"/>
                <w:color w:val="000000"/>
              </w:rPr>
              <w:t>1</w:t>
            </w:r>
            <w:r>
              <w:rPr>
                <w:rFonts w:ascii="仿宋" w:eastAsia="仿宋" w:hAnsi="仿宋" w:hint="eastAsia"/>
                <w:color w:val="000000"/>
              </w:rPr>
              <w:t>级</w:t>
            </w:r>
          </w:p>
        </w:tc>
      </w:tr>
      <w:tr w:rsidR="00B23A40">
        <w:tc>
          <w:tcPr>
            <w:tcW w:w="1843" w:type="dxa"/>
            <w:vMerge/>
          </w:tcPr>
          <w:p w:rsidR="00B23A40" w:rsidRDefault="00B23A40">
            <w:pPr>
              <w:rPr>
                <w:rFonts w:ascii="仿宋" w:eastAsia="仿宋" w:hAnsi="仿宋"/>
                <w:color w:val="000000"/>
              </w:rPr>
            </w:pPr>
          </w:p>
        </w:tc>
        <w:tc>
          <w:tcPr>
            <w:tcW w:w="4536" w:type="dxa"/>
          </w:tcPr>
          <w:p w:rsidR="00B23A40" w:rsidRDefault="00DD1A0D">
            <w:pPr>
              <w:rPr>
                <w:rFonts w:ascii="仿宋" w:eastAsia="仿宋" w:hAnsi="仿宋"/>
                <w:color w:val="000000"/>
              </w:rPr>
            </w:pPr>
            <w:r>
              <w:rPr>
                <w:rFonts w:ascii="仿宋" w:eastAsia="仿宋" w:hAnsi="仿宋" w:hint="eastAsia"/>
                <w:color w:val="000000"/>
              </w:rPr>
              <w:t>4级</w:t>
            </w:r>
          </w:p>
        </w:tc>
        <w:tc>
          <w:tcPr>
            <w:tcW w:w="3402" w:type="dxa"/>
          </w:tcPr>
          <w:p w:rsidR="00B23A40" w:rsidRDefault="00DD1A0D">
            <w:pPr>
              <w:rPr>
                <w:rFonts w:ascii="仿宋" w:eastAsia="仿宋" w:hAnsi="仿宋"/>
                <w:color w:val="000000"/>
              </w:rPr>
            </w:pPr>
            <w:r>
              <w:rPr>
                <w:rFonts w:ascii="仿宋" w:eastAsia="仿宋" w:hAnsi="仿宋" w:hint="eastAsia"/>
                <w:color w:val="000000"/>
              </w:rPr>
              <w:t>永久停药</w:t>
            </w:r>
          </w:p>
        </w:tc>
      </w:tr>
      <w:tr w:rsidR="00B23A40">
        <w:tc>
          <w:tcPr>
            <w:tcW w:w="1843" w:type="dxa"/>
            <w:vMerge w:val="restart"/>
          </w:tcPr>
          <w:p w:rsidR="00B23A40" w:rsidRDefault="00DD1A0D">
            <w:pPr>
              <w:rPr>
                <w:rFonts w:ascii="仿宋" w:eastAsia="仿宋" w:hAnsi="仿宋"/>
                <w:color w:val="000000"/>
              </w:rPr>
            </w:pPr>
            <w:r>
              <w:rPr>
                <w:rFonts w:ascii="仿宋" w:eastAsia="仿宋" w:hAnsi="仿宋" w:hint="eastAsia"/>
                <w:color w:val="000000"/>
              </w:rPr>
              <w:t>肝炎</w:t>
            </w:r>
          </w:p>
        </w:tc>
        <w:tc>
          <w:tcPr>
            <w:tcW w:w="4536" w:type="dxa"/>
          </w:tcPr>
          <w:p w:rsidR="00B23A40" w:rsidRDefault="00DD1A0D">
            <w:pPr>
              <w:rPr>
                <w:rFonts w:ascii="仿宋" w:eastAsia="仿宋" w:hAnsi="仿宋"/>
                <w:color w:val="000000"/>
              </w:rPr>
            </w:pPr>
            <w:r>
              <w:rPr>
                <w:rFonts w:ascii="仿宋" w:eastAsia="仿宋" w:hAnsi="仿宋" w:hint="eastAsia"/>
                <w:color w:val="000000"/>
              </w:rPr>
              <w:t>2级，天冬氨酸氨基转移酶（A</w:t>
            </w:r>
            <w:r>
              <w:rPr>
                <w:rFonts w:ascii="仿宋" w:eastAsia="仿宋" w:hAnsi="仿宋"/>
                <w:color w:val="000000"/>
              </w:rPr>
              <w:t>ST</w:t>
            </w:r>
            <w:r>
              <w:rPr>
                <w:rFonts w:ascii="仿宋" w:eastAsia="仿宋" w:hAnsi="仿宋" w:hint="eastAsia"/>
                <w:color w:val="000000"/>
              </w:rPr>
              <w:t>）或丙氨酸氨基转移酶（A</w:t>
            </w:r>
            <w:r>
              <w:rPr>
                <w:rFonts w:ascii="仿宋" w:eastAsia="仿宋" w:hAnsi="仿宋"/>
                <w:color w:val="000000"/>
              </w:rPr>
              <w:t>LT</w:t>
            </w:r>
            <w:r>
              <w:rPr>
                <w:rFonts w:ascii="仿宋" w:eastAsia="仿宋" w:hAnsi="仿宋" w:hint="eastAsia"/>
                <w:color w:val="000000"/>
              </w:rPr>
              <w:t>）在3～</w:t>
            </w:r>
            <w:r>
              <w:rPr>
                <w:rFonts w:ascii="仿宋" w:eastAsia="仿宋" w:hAnsi="仿宋"/>
                <w:color w:val="000000"/>
              </w:rPr>
              <w:t>5</w:t>
            </w:r>
            <w:r>
              <w:rPr>
                <w:rFonts w:ascii="仿宋" w:eastAsia="仿宋" w:hAnsi="仿宋" w:hint="eastAsia"/>
                <w:color w:val="000000"/>
              </w:rPr>
              <w:t>倍正常值上限（U</w:t>
            </w:r>
            <w:r>
              <w:rPr>
                <w:rFonts w:ascii="仿宋" w:eastAsia="仿宋" w:hAnsi="仿宋"/>
                <w:color w:val="000000"/>
              </w:rPr>
              <w:t>LN</w:t>
            </w:r>
            <w:r>
              <w:rPr>
                <w:rFonts w:ascii="仿宋" w:eastAsia="仿宋" w:hAnsi="仿宋" w:hint="eastAsia"/>
                <w:color w:val="000000"/>
              </w:rPr>
              <w:t>）或总胆红素（T</w:t>
            </w:r>
            <w:r>
              <w:rPr>
                <w:rFonts w:ascii="仿宋" w:eastAsia="仿宋" w:hAnsi="仿宋"/>
                <w:color w:val="000000"/>
              </w:rPr>
              <w:t>BIL</w:t>
            </w:r>
            <w:r>
              <w:rPr>
                <w:rFonts w:ascii="仿宋" w:eastAsia="仿宋" w:hAnsi="仿宋" w:hint="eastAsia"/>
                <w:color w:val="000000"/>
              </w:rPr>
              <w:t>）在1</w:t>
            </w:r>
            <w:r>
              <w:rPr>
                <w:rFonts w:ascii="仿宋" w:eastAsia="仿宋" w:hAnsi="仿宋"/>
                <w:color w:val="000000"/>
              </w:rPr>
              <w:t>.5</w:t>
            </w:r>
            <w:r>
              <w:rPr>
                <w:rFonts w:ascii="仿宋" w:eastAsia="仿宋" w:hAnsi="仿宋" w:hint="eastAsia"/>
                <w:color w:val="000000"/>
              </w:rPr>
              <w:t>～</w:t>
            </w:r>
            <w:r>
              <w:rPr>
                <w:rFonts w:ascii="仿宋" w:eastAsia="仿宋" w:hAnsi="仿宋"/>
                <w:color w:val="000000"/>
              </w:rPr>
              <w:t>3</w:t>
            </w:r>
            <w:r>
              <w:rPr>
                <w:rFonts w:ascii="仿宋" w:eastAsia="仿宋" w:hAnsi="仿宋" w:hint="eastAsia"/>
                <w:color w:val="000000"/>
              </w:rPr>
              <w:t>倍U</w:t>
            </w:r>
            <w:r>
              <w:rPr>
                <w:rFonts w:ascii="仿宋" w:eastAsia="仿宋" w:hAnsi="仿宋"/>
                <w:color w:val="000000"/>
              </w:rPr>
              <w:t>LN</w:t>
            </w:r>
          </w:p>
        </w:tc>
        <w:tc>
          <w:tcPr>
            <w:tcW w:w="3402" w:type="dxa"/>
          </w:tcPr>
          <w:p w:rsidR="00B23A40" w:rsidRDefault="00DD1A0D">
            <w:pPr>
              <w:rPr>
                <w:rFonts w:ascii="仿宋" w:eastAsia="仿宋" w:hAnsi="仿宋"/>
                <w:color w:val="000000"/>
              </w:rPr>
            </w:pPr>
            <w:r>
              <w:rPr>
                <w:rFonts w:ascii="仿宋" w:eastAsia="仿宋" w:hAnsi="仿宋" w:hint="eastAsia"/>
                <w:color w:val="000000"/>
              </w:rPr>
              <w:t>暂停给药，直至不良反应恢复至0～</w:t>
            </w:r>
            <w:r>
              <w:rPr>
                <w:rFonts w:ascii="仿宋" w:eastAsia="仿宋" w:hAnsi="仿宋"/>
                <w:color w:val="000000"/>
              </w:rPr>
              <w:t>1</w:t>
            </w:r>
            <w:r>
              <w:rPr>
                <w:rFonts w:ascii="仿宋" w:eastAsia="仿宋" w:hAnsi="仿宋" w:hint="eastAsia"/>
                <w:color w:val="000000"/>
              </w:rPr>
              <w:t>级</w:t>
            </w:r>
          </w:p>
        </w:tc>
      </w:tr>
      <w:tr w:rsidR="00B23A40">
        <w:tc>
          <w:tcPr>
            <w:tcW w:w="1843" w:type="dxa"/>
            <w:vMerge/>
          </w:tcPr>
          <w:p w:rsidR="00B23A40" w:rsidRDefault="00B23A40">
            <w:pPr>
              <w:rPr>
                <w:rFonts w:ascii="仿宋" w:eastAsia="仿宋" w:hAnsi="仿宋"/>
                <w:color w:val="000000"/>
              </w:rPr>
            </w:pPr>
          </w:p>
        </w:tc>
        <w:tc>
          <w:tcPr>
            <w:tcW w:w="4536" w:type="dxa"/>
          </w:tcPr>
          <w:p w:rsidR="00B23A40" w:rsidRDefault="00DD1A0D">
            <w:pPr>
              <w:rPr>
                <w:rFonts w:ascii="仿宋" w:eastAsia="仿宋" w:hAnsi="仿宋"/>
                <w:color w:val="000000"/>
              </w:rPr>
            </w:pPr>
            <w:r>
              <w:rPr>
                <w:rFonts w:ascii="仿宋" w:eastAsia="仿宋" w:hAnsi="仿宋" w:hint="eastAsia"/>
                <w:color w:val="000000"/>
              </w:rPr>
              <w:t>3～</w:t>
            </w:r>
            <w:r>
              <w:rPr>
                <w:rFonts w:ascii="仿宋" w:eastAsia="仿宋" w:hAnsi="仿宋"/>
                <w:color w:val="000000"/>
              </w:rPr>
              <w:t>4</w:t>
            </w:r>
            <w:r>
              <w:rPr>
                <w:rFonts w:ascii="仿宋" w:eastAsia="仿宋" w:hAnsi="仿宋" w:hint="eastAsia"/>
                <w:color w:val="000000"/>
              </w:rPr>
              <w:t>级，A</w:t>
            </w:r>
            <w:r>
              <w:rPr>
                <w:rFonts w:ascii="仿宋" w:eastAsia="仿宋" w:hAnsi="仿宋"/>
                <w:color w:val="000000"/>
              </w:rPr>
              <w:t>ST</w:t>
            </w:r>
            <w:r>
              <w:rPr>
                <w:rFonts w:ascii="仿宋" w:eastAsia="仿宋" w:hAnsi="仿宋" w:hint="eastAsia"/>
                <w:color w:val="000000"/>
              </w:rPr>
              <w:t>或A</w:t>
            </w:r>
            <w:r>
              <w:rPr>
                <w:rFonts w:ascii="仿宋" w:eastAsia="仿宋" w:hAnsi="仿宋"/>
                <w:color w:val="000000"/>
              </w:rPr>
              <w:t>LT</w:t>
            </w:r>
            <w:r>
              <w:rPr>
                <w:rFonts w:ascii="仿宋" w:eastAsia="仿宋" w:hAnsi="仿宋" w:hint="eastAsia"/>
                <w:color w:val="000000"/>
              </w:rPr>
              <w:t>＞5倍U</w:t>
            </w:r>
            <w:r>
              <w:rPr>
                <w:rFonts w:ascii="仿宋" w:eastAsia="仿宋" w:hAnsi="仿宋"/>
                <w:color w:val="000000"/>
              </w:rPr>
              <w:t>LN</w:t>
            </w:r>
            <w:r>
              <w:rPr>
                <w:rFonts w:ascii="仿宋" w:eastAsia="仿宋" w:hAnsi="仿宋" w:hint="eastAsia"/>
                <w:color w:val="000000"/>
              </w:rPr>
              <w:t>，或T</w:t>
            </w:r>
            <w:r>
              <w:rPr>
                <w:rFonts w:ascii="仿宋" w:eastAsia="仿宋" w:hAnsi="仿宋"/>
                <w:color w:val="000000"/>
              </w:rPr>
              <w:t>BIL</w:t>
            </w:r>
            <w:r>
              <w:rPr>
                <w:rFonts w:ascii="仿宋" w:eastAsia="仿宋" w:hAnsi="仿宋" w:hint="eastAsia"/>
                <w:color w:val="000000"/>
              </w:rPr>
              <w:t>＞3倍U</w:t>
            </w:r>
            <w:r>
              <w:rPr>
                <w:rFonts w:ascii="仿宋" w:eastAsia="仿宋" w:hAnsi="仿宋"/>
                <w:color w:val="000000"/>
              </w:rPr>
              <w:t>LN</w:t>
            </w:r>
          </w:p>
        </w:tc>
        <w:tc>
          <w:tcPr>
            <w:tcW w:w="3402" w:type="dxa"/>
          </w:tcPr>
          <w:p w:rsidR="00B23A40" w:rsidRDefault="00DD1A0D">
            <w:pPr>
              <w:rPr>
                <w:rFonts w:ascii="仿宋" w:eastAsia="仿宋" w:hAnsi="仿宋"/>
                <w:color w:val="000000"/>
              </w:rPr>
            </w:pPr>
            <w:r>
              <w:rPr>
                <w:rFonts w:ascii="仿宋" w:eastAsia="仿宋" w:hAnsi="仿宋" w:hint="eastAsia"/>
                <w:color w:val="000000"/>
              </w:rPr>
              <w:t>永久停药</w:t>
            </w:r>
          </w:p>
        </w:tc>
      </w:tr>
      <w:tr w:rsidR="00B23A40">
        <w:tc>
          <w:tcPr>
            <w:tcW w:w="1843" w:type="dxa"/>
            <w:vMerge w:val="restart"/>
          </w:tcPr>
          <w:p w:rsidR="00B23A40" w:rsidRDefault="00DD1A0D">
            <w:pPr>
              <w:rPr>
                <w:rFonts w:ascii="仿宋" w:eastAsia="仿宋" w:hAnsi="仿宋"/>
                <w:color w:val="000000"/>
              </w:rPr>
            </w:pPr>
            <w:r>
              <w:rPr>
                <w:rFonts w:ascii="仿宋" w:eastAsia="仿宋" w:hAnsi="仿宋" w:hint="eastAsia"/>
                <w:color w:val="000000"/>
              </w:rPr>
              <w:t>肾炎</w:t>
            </w:r>
          </w:p>
        </w:tc>
        <w:tc>
          <w:tcPr>
            <w:tcW w:w="4536" w:type="dxa"/>
          </w:tcPr>
          <w:p w:rsidR="00B23A40" w:rsidRDefault="00DD1A0D">
            <w:pPr>
              <w:rPr>
                <w:rFonts w:ascii="仿宋" w:eastAsia="仿宋" w:hAnsi="仿宋"/>
                <w:color w:val="000000"/>
              </w:rPr>
            </w:pPr>
            <w:r>
              <w:rPr>
                <w:rFonts w:ascii="仿宋" w:eastAsia="仿宋" w:hAnsi="仿宋" w:hint="eastAsia"/>
                <w:color w:val="000000"/>
              </w:rPr>
              <w:t>2～</w:t>
            </w:r>
            <w:r>
              <w:rPr>
                <w:rFonts w:ascii="仿宋" w:eastAsia="仿宋" w:hAnsi="仿宋"/>
                <w:color w:val="000000"/>
              </w:rPr>
              <w:t>3</w:t>
            </w:r>
            <w:r>
              <w:rPr>
                <w:rFonts w:ascii="仿宋" w:eastAsia="仿宋" w:hAnsi="仿宋" w:hint="eastAsia"/>
                <w:color w:val="000000"/>
              </w:rPr>
              <w:t>级血肌酐升高</w:t>
            </w:r>
          </w:p>
        </w:tc>
        <w:tc>
          <w:tcPr>
            <w:tcW w:w="3402" w:type="dxa"/>
          </w:tcPr>
          <w:p w:rsidR="00B23A40" w:rsidRDefault="00DD1A0D">
            <w:pPr>
              <w:rPr>
                <w:rFonts w:ascii="仿宋" w:eastAsia="仿宋" w:hAnsi="仿宋"/>
                <w:color w:val="000000"/>
              </w:rPr>
            </w:pPr>
            <w:r>
              <w:rPr>
                <w:rFonts w:ascii="仿宋" w:eastAsia="仿宋" w:hAnsi="仿宋" w:hint="eastAsia"/>
                <w:color w:val="000000"/>
              </w:rPr>
              <w:t>暂停给药，直至不良反应恢复至0～</w:t>
            </w:r>
            <w:r>
              <w:rPr>
                <w:rFonts w:ascii="仿宋" w:eastAsia="仿宋" w:hAnsi="仿宋"/>
                <w:color w:val="000000"/>
              </w:rPr>
              <w:t>1</w:t>
            </w:r>
            <w:r>
              <w:rPr>
                <w:rFonts w:ascii="仿宋" w:eastAsia="仿宋" w:hAnsi="仿宋" w:hint="eastAsia"/>
                <w:color w:val="000000"/>
              </w:rPr>
              <w:t>级</w:t>
            </w:r>
          </w:p>
        </w:tc>
      </w:tr>
      <w:tr w:rsidR="00B23A40">
        <w:tc>
          <w:tcPr>
            <w:tcW w:w="1843" w:type="dxa"/>
            <w:vMerge/>
          </w:tcPr>
          <w:p w:rsidR="00B23A40" w:rsidRDefault="00B23A40">
            <w:pPr>
              <w:rPr>
                <w:rFonts w:ascii="仿宋" w:eastAsia="仿宋" w:hAnsi="仿宋"/>
                <w:color w:val="000000"/>
              </w:rPr>
            </w:pPr>
          </w:p>
        </w:tc>
        <w:tc>
          <w:tcPr>
            <w:tcW w:w="4536" w:type="dxa"/>
          </w:tcPr>
          <w:p w:rsidR="00B23A40" w:rsidRDefault="00DD1A0D">
            <w:pPr>
              <w:rPr>
                <w:rFonts w:ascii="仿宋" w:eastAsia="仿宋" w:hAnsi="仿宋"/>
                <w:color w:val="000000"/>
              </w:rPr>
            </w:pPr>
            <w:r>
              <w:rPr>
                <w:rFonts w:ascii="仿宋" w:eastAsia="仿宋" w:hAnsi="仿宋" w:hint="eastAsia"/>
                <w:color w:val="000000"/>
              </w:rPr>
              <w:t>4级血肌酐升高</w:t>
            </w:r>
          </w:p>
        </w:tc>
        <w:tc>
          <w:tcPr>
            <w:tcW w:w="3402" w:type="dxa"/>
          </w:tcPr>
          <w:p w:rsidR="00B23A40" w:rsidRDefault="00DD1A0D">
            <w:pPr>
              <w:rPr>
                <w:rFonts w:ascii="仿宋" w:eastAsia="仿宋" w:hAnsi="仿宋"/>
                <w:color w:val="000000"/>
              </w:rPr>
            </w:pPr>
            <w:r>
              <w:rPr>
                <w:rFonts w:ascii="仿宋" w:eastAsia="仿宋" w:hAnsi="仿宋" w:hint="eastAsia"/>
                <w:color w:val="000000"/>
              </w:rPr>
              <w:t>永久停药</w:t>
            </w:r>
          </w:p>
        </w:tc>
      </w:tr>
      <w:tr w:rsidR="00B23A40">
        <w:tc>
          <w:tcPr>
            <w:tcW w:w="1843" w:type="dxa"/>
            <w:vMerge w:val="restart"/>
          </w:tcPr>
          <w:p w:rsidR="00B23A40" w:rsidRDefault="00DD1A0D">
            <w:pPr>
              <w:rPr>
                <w:rFonts w:ascii="仿宋" w:eastAsia="仿宋" w:hAnsi="仿宋"/>
                <w:color w:val="000000"/>
              </w:rPr>
            </w:pPr>
            <w:r>
              <w:rPr>
                <w:rFonts w:ascii="仿宋" w:eastAsia="仿宋" w:hAnsi="仿宋" w:hint="eastAsia"/>
                <w:color w:val="000000"/>
              </w:rPr>
              <w:t>内分泌疾病</w:t>
            </w:r>
          </w:p>
        </w:tc>
        <w:tc>
          <w:tcPr>
            <w:tcW w:w="4536" w:type="dxa"/>
          </w:tcPr>
          <w:p w:rsidR="00B23A40" w:rsidRDefault="00DD1A0D">
            <w:pPr>
              <w:rPr>
                <w:rFonts w:ascii="仿宋" w:eastAsia="仿宋" w:hAnsi="仿宋"/>
                <w:color w:val="000000"/>
              </w:rPr>
            </w:pPr>
            <w:r>
              <w:rPr>
                <w:rFonts w:ascii="仿宋" w:eastAsia="仿宋" w:hAnsi="仿宋" w:hint="eastAsia"/>
                <w:color w:val="000000"/>
              </w:rPr>
              <w:t>症状性2～</w:t>
            </w:r>
            <w:r>
              <w:rPr>
                <w:rFonts w:ascii="仿宋" w:eastAsia="仿宋" w:hAnsi="仿宋"/>
                <w:color w:val="000000"/>
              </w:rPr>
              <w:t>3</w:t>
            </w:r>
            <w:r>
              <w:rPr>
                <w:rFonts w:ascii="仿宋" w:eastAsia="仿宋" w:hAnsi="仿宋" w:hint="eastAsia"/>
                <w:color w:val="000000"/>
              </w:rPr>
              <w:t>级甲状腺功能减退，2～</w:t>
            </w:r>
            <w:r>
              <w:rPr>
                <w:rFonts w:ascii="仿宋" w:eastAsia="仿宋" w:hAnsi="仿宋"/>
                <w:color w:val="000000"/>
              </w:rPr>
              <w:t>3</w:t>
            </w:r>
            <w:r>
              <w:rPr>
                <w:rFonts w:ascii="仿宋" w:eastAsia="仿宋" w:hAnsi="仿宋" w:hint="eastAsia"/>
                <w:color w:val="000000"/>
              </w:rPr>
              <w:t>级甲状腺功能亢进、</w:t>
            </w:r>
            <w:r>
              <w:rPr>
                <w:rFonts w:ascii="仿宋" w:eastAsia="仿宋" w:hAnsi="仿宋"/>
                <w:color w:val="000000"/>
              </w:rPr>
              <w:t>2</w:t>
            </w:r>
            <w:r>
              <w:rPr>
                <w:rFonts w:ascii="仿宋" w:eastAsia="仿宋" w:hAnsi="仿宋" w:hint="eastAsia"/>
                <w:color w:val="000000"/>
              </w:rPr>
              <w:t>～</w:t>
            </w:r>
            <w:r>
              <w:rPr>
                <w:rFonts w:ascii="仿宋" w:eastAsia="仿宋" w:hAnsi="仿宋"/>
                <w:color w:val="000000"/>
              </w:rPr>
              <w:t>3</w:t>
            </w:r>
            <w:r>
              <w:rPr>
                <w:rFonts w:ascii="仿宋" w:eastAsia="仿宋" w:hAnsi="仿宋" w:hint="eastAsia"/>
                <w:color w:val="000000"/>
              </w:rPr>
              <w:t>级垂体炎、2级肾上腺功能不全、3级高血糖症或1型糖尿病</w:t>
            </w:r>
          </w:p>
        </w:tc>
        <w:tc>
          <w:tcPr>
            <w:tcW w:w="3402" w:type="dxa"/>
          </w:tcPr>
          <w:p w:rsidR="00B23A40" w:rsidRDefault="00DD1A0D">
            <w:pPr>
              <w:rPr>
                <w:rFonts w:ascii="仿宋" w:eastAsia="仿宋" w:hAnsi="仿宋"/>
                <w:color w:val="000000"/>
              </w:rPr>
            </w:pPr>
            <w:r>
              <w:rPr>
                <w:rFonts w:ascii="仿宋" w:eastAsia="仿宋" w:hAnsi="仿宋" w:hint="eastAsia"/>
                <w:color w:val="000000"/>
              </w:rPr>
              <w:t>暂停给药，直至不良反应恢复至0～</w:t>
            </w:r>
            <w:r>
              <w:rPr>
                <w:rFonts w:ascii="仿宋" w:eastAsia="仿宋" w:hAnsi="仿宋"/>
                <w:color w:val="000000"/>
              </w:rPr>
              <w:t>1</w:t>
            </w:r>
            <w:r>
              <w:rPr>
                <w:rFonts w:ascii="仿宋" w:eastAsia="仿宋" w:hAnsi="仿宋" w:hint="eastAsia"/>
                <w:color w:val="000000"/>
              </w:rPr>
              <w:t>级</w:t>
            </w:r>
          </w:p>
        </w:tc>
      </w:tr>
      <w:tr w:rsidR="00B23A40">
        <w:tc>
          <w:tcPr>
            <w:tcW w:w="1843" w:type="dxa"/>
            <w:vMerge/>
          </w:tcPr>
          <w:p w:rsidR="00B23A40" w:rsidRDefault="00B23A40">
            <w:pPr>
              <w:rPr>
                <w:rFonts w:ascii="仿宋" w:eastAsia="仿宋" w:hAnsi="仿宋"/>
                <w:color w:val="000000"/>
              </w:rPr>
            </w:pPr>
          </w:p>
        </w:tc>
        <w:tc>
          <w:tcPr>
            <w:tcW w:w="4536" w:type="dxa"/>
          </w:tcPr>
          <w:p w:rsidR="00B23A40" w:rsidRDefault="00DD1A0D">
            <w:pPr>
              <w:rPr>
                <w:rFonts w:ascii="仿宋" w:eastAsia="仿宋" w:hAnsi="仿宋"/>
                <w:color w:val="000000"/>
              </w:rPr>
            </w:pPr>
            <w:r>
              <w:rPr>
                <w:rFonts w:ascii="仿宋" w:eastAsia="仿宋" w:hAnsi="仿宋" w:hint="eastAsia"/>
                <w:color w:val="000000"/>
              </w:rPr>
              <w:t>4级甲状腺功能减退</w:t>
            </w:r>
          </w:p>
          <w:p w:rsidR="00B23A40" w:rsidRDefault="00DD1A0D">
            <w:pPr>
              <w:rPr>
                <w:rFonts w:ascii="仿宋" w:eastAsia="仿宋" w:hAnsi="仿宋"/>
                <w:color w:val="000000"/>
              </w:rPr>
            </w:pPr>
            <w:r>
              <w:rPr>
                <w:rFonts w:ascii="仿宋" w:eastAsia="仿宋" w:hAnsi="仿宋" w:hint="eastAsia"/>
                <w:color w:val="000000"/>
              </w:rPr>
              <w:t>4级甲状腺功能亢进</w:t>
            </w:r>
          </w:p>
          <w:p w:rsidR="00B23A40" w:rsidRDefault="00DD1A0D">
            <w:pPr>
              <w:rPr>
                <w:rFonts w:ascii="仿宋" w:eastAsia="仿宋" w:hAnsi="仿宋"/>
                <w:color w:val="000000"/>
              </w:rPr>
            </w:pPr>
            <w:r>
              <w:rPr>
                <w:rFonts w:ascii="仿宋" w:eastAsia="仿宋" w:hAnsi="仿宋" w:hint="eastAsia"/>
                <w:color w:val="000000"/>
              </w:rPr>
              <w:t>4级垂体炎</w:t>
            </w:r>
          </w:p>
          <w:p w:rsidR="00B23A40" w:rsidRDefault="00DD1A0D">
            <w:pPr>
              <w:rPr>
                <w:rFonts w:ascii="仿宋" w:eastAsia="仿宋" w:hAnsi="仿宋"/>
                <w:color w:val="000000"/>
              </w:rPr>
            </w:pPr>
            <w:r>
              <w:rPr>
                <w:rFonts w:ascii="仿宋" w:eastAsia="仿宋" w:hAnsi="仿宋" w:hint="eastAsia"/>
                <w:color w:val="000000"/>
              </w:rPr>
              <w:t>3～</w:t>
            </w:r>
            <w:r>
              <w:rPr>
                <w:rFonts w:ascii="仿宋" w:eastAsia="仿宋" w:hAnsi="仿宋"/>
                <w:color w:val="000000"/>
              </w:rPr>
              <w:t>4</w:t>
            </w:r>
            <w:r>
              <w:rPr>
                <w:rFonts w:ascii="仿宋" w:eastAsia="仿宋" w:hAnsi="仿宋" w:hint="eastAsia"/>
                <w:color w:val="000000"/>
              </w:rPr>
              <w:t>级肾上腺功能不全</w:t>
            </w:r>
          </w:p>
          <w:p w:rsidR="00B23A40" w:rsidRDefault="00DD1A0D">
            <w:pPr>
              <w:rPr>
                <w:rFonts w:ascii="仿宋" w:eastAsia="仿宋" w:hAnsi="仿宋"/>
                <w:color w:val="000000"/>
              </w:rPr>
            </w:pPr>
            <w:r>
              <w:rPr>
                <w:rFonts w:ascii="仿宋" w:eastAsia="仿宋" w:hAnsi="仿宋" w:hint="eastAsia"/>
                <w:color w:val="000000"/>
              </w:rPr>
              <w:t>4级高血糖症或1型糖尿病</w:t>
            </w:r>
          </w:p>
        </w:tc>
        <w:tc>
          <w:tcPr>
            <w:tcW w:w="3402" w:type="dxa"/>
          </w:tcPr>
          <w:p w:rsidR="00B23A40" w:rsidRDefault="00DD1A0D">
            <w:pPr>
              <w:rPr>
                <w:rFonts w:ascii="仿宋" w:eastAsia="仿宋" w:hAnsi="仿宋"/>
                <w:color w:val="000000"/>
              </w:rPr>
            </w:pPr>
            <w:r>
              <w:rPr>
                <w:rFonts w:ascii="仿宋" w:eastAsia="仿宋" w:hAnsi="仿宋" w:hint="eastAsia"/>
                <w:color w:val="000000"/>
              </w:rPr>
              <w:t>永久停药</w:t>
            </w:r>
          </w:p>
        </w:tc>
      </w:tr>
      <w:tr w:rsidR="00B23A40">
        <w:tc>
          <w:tcPr>
            <w:tcW w:w="1843" w:type="dxa"/>
            <w:vMerge w:val="restart"/>
          </w:tcPr>
          <w:p w:rsidR="00B23A40" w:rsidRDefault="00DD1A0D">
            <w:pPr>
              <w:rPr>
                <w:rFonts w:ascii="仿宋" w:eastAsia="仿宋" w:hAnsi="仿宋"/>
                <w:color w:val="000000"/>
              </w:rPr>
            </w:pPr>
            <w:r>
              <w:rPr>
                <w:rFonts w:ascii="仿宋" w:eastAsia="仿宋" w:hAnsi="仿宋" w:hint="eastAsia"/>
                <w:color w:val="000000"/>
              </w:rPr>
              <w:t>皮肤不良反应</w:t>
            </w:r>
          </w:p>
        </w:tc>
        <w:tc>
          <w:tcPr>
            <w:tcW w:w="4536" w:type="dxa"/>
          </w:tcPr>
          <w:p w:rsidR="00B23A40" w:rsidRDefault="00DD1A0D">
            <w:pPr>
              <w:rPr>
                <w:rFonts w:ascii="仿宋" w:eastAsia="仿宋" w:hAnsi="仿宋"/>
                <w:color w:val="000000"/>
              </w:rPr>
            </w:pPr>
            <w:r>
              <w:rPr>
                <w:rFonts w:ascii="仿宋" w:eastAsia="仿宋" w:hAnsi="仿宋" w:hint="eastAsia"/>
                <w:color w:val="000000"/>
              </w:rPr>
              <w:t>3级</w:t>
            </w:r>
          </w:p>
        </w:tc>
        <w:tc>
          <w:tcPr>
            <w:tcW w:w="3402" w:type="dxa"/>
          </w:tcPr>
          <w:p w:rsidR="00B23A40" w:rsidRDefault="00DD1A0D">
            <w:pPr>
              <w:rPr>
                <w:rFonts w:ascii="仿宋" w:eastAsia="仿宋" w:hAnsi="仿宋"/>
                <w:color w:val="000000"/>
              </w:rPr>
            </w:pPr>
            <w:r>
              <w:rPr>
                <w:rFonts w:ascii="仿宋" w:eastAsia="仿宋" w:hAnsi="仿宋" w:hint="eastAsia"/>
                <w:color w:val="000000"/>
              </w:rPr>
              <w:t>暂停给药，直至不良反应恢复至0～</w:t>
            </w:r>
            <w:r>
              <w:rPr>
                <w:rFonts w:ascii="仿宋" w:eastAsia="仿宋" w:hAnsi="仿宋"/>
                <w:color w:val="000000"/>
              </w:rPr>
              <w:t>1</w:t>
            </w:r>
            <w:r>
              <w:rPr>
                <w:rFonts w:ascii="仿宋" w:eastAsia="仿宋" w:hAnsi="仿宋" w:hint="eastAsia"/>
                <w:color w:val="000000"/>
              </w:rPr>
              <w:t>级</w:t>
            </w:r>
          </w:p>
        </w:tc>
      </w:tr>
      <w:tr w:rsidR="00B23A40">
        <w:tc>
          <w:tcPr>
            <w:tcW w:w="1843" w:type="dxa"/>
            <w:vMerge/>
          </w:tcPr>
          <w:p w:rsidR="00B23A40" w:rsidRDefault="00B23A40">
            <w:pPr>
              <w:rPr>
                <w:rFonts w:ascii="仿宋" w:eastAsia="仿宋" w:hAnsi="仿宋"/>
                <w:color w:val="000000"/>
              </w:rPr>
            </w:pPr>
          </w:p>
        </w:tc>
        <w:tc>
          <w:tcPr>
            <w:tcW w:w="4536" w:type="dxa"/>
          </w:tcPr>
          <w:p w:rsidR="00B23A40" w:rsidRDefault="00DD1A0D">
            <w:pPr>
              <w:rPr>
                <w:rFonts w:ascii="仿宋" w:eastAsia="仿宋" w:hAnsi="仿宋"/>
                <w:color w:val="000000"/>
              </w:rPr>
            </w:pPr>
            <w:r>
              <w:rPr>
                <w:rFonts w:ascii="仿宋" w:eastAsia="仿宋" w:hAnsi="仿宋" w:hint="eastAsia"/>
                <w:color w:val="000000"/>
              </w:rPr>
              <w:t>4级，史蒂文斯-约翰逊综合征（S</w:t>
            </w:r>
            <w:r>
              <w:rPr>
                <w:rFonts w:ascii="仿宋" w:eastAsia="仿宋" w:hAnsi="仿宋"/>
                <w:color w:val="000000"/>
              </w:rPr>
              <w:t>JS</w:t>
            </w:r>
            <w:r>
              <w:rPr>
                <w:rFonts w:ascii="仿宋" w:eastAsia="仿宋" w:hAnsi="仿宋" w:hint="eastAsia"/>
                <w:color w:val="000000"/>
              </w:rPr>
              <w:t>）或中毒性表皮坏死松解症（T</w:t>
            </w:r>
            <w:r>
              <w:rPr>
                <w:rFonts w:ascii="仿宋" w:eastAsia="仿宋" w:hAnsi="仿宋"/>
                <w:color w:val="000000"/>
              </w:rPr>
              <w:t>EN</w:t>
            </w:r>
            <w:r>
              <w:rPr>
                <w:rFonts w:ascii="仿宋" w:eastAsia="仿宋" w:hAnsi="仿宋" w:hint="eastAsia"/>
                <w:color w:val="000000"/>
              </w:rPr>
              <w:t>）</w:t>
            </w:r>
          </w:p>
        </w:tc>
        <w:tc>
          <w:tcPr>
            <w:tcW w:w="3402" w:type="dxa"/>
          </w:tcPr>
          <w:p w:rsidR="00B23A40" w:rsidRDefault="00DD1A0D">
            <w:pPr>
              <w:rPr>
                <w:rFonts w:ascii="仿宋" w:eastAsia="仿宋" w:hAnsi="仿宋"/>
                <w:color w:val="000000"/>
              </w:rPr>
            </w:pPr>
            <w:r>
              <w:rPr>
                <w:rFonts w:ascii="仿宋" w:eastAsia="仿宋" w:hAnsi="仿宋" w:hint="eastAsia"/>
                <w:color w:val="000000"/>
              </w:rPr>
              <w:t>永久停药</w:t>
            </w:r>
          </w:p>
        </w:tc>
      </w:tr>
      <w:tr w:rsidR="00B23A40">
        <w:tc>
          <w:tcPr>
            <w:tcW w:w="1843" w:type="dxa"/>
            <w:vMerge w:val="restart"/>
          </w:tcPr>
          <w:p w:rsidR="00B23A40" w:rsidRDefault="00DD1A0D">
            <w:pPr>
              <w:rPr>
                <w:rFonts w:ascii="仿宋" w:eastAsia="仿宋" w:hAnsi="仿宋"/>
                <w:color w:val="000000"/>
              </w:rPr>
            </w:pPr>
            <w:r>
              <w:rPr>
                <w:rFonts w:ascii="仿宋" w:eastAsia="仿宋" w:hAnsi="仿宋" w:hint="eastAsia"/>
                <w:color w:val="000000"/>
              </w:rPr>
              <w:t>血小板减少症</w:t>
            </w:r>
          </w:p>
        </w:tc>
        <w:tc>
          <w:tcPr>
            <w:tcW w:w="4536" w:type="dxa"/>
          </w:tcPr>
          <w:p w:rsidR="00B23A40" w:rsidRDefault="00DD1A0D">
            <w:pPr>
              <w:rPr>
                <w:rFonts w:ascii="仿宋" w:eastAsia="仿宋" w:hAnsi="仿宋"/>
                <w:color w:val="000000"/>
              </w:rPr>
            </w:pPr>
            <w:r>
              <w:rPr>
                <w:rFonts w:ascii="仿宋" w:eastAsia="仿宋" w:hAnsi="仿宋" w:hint="eastAsia"/>
                <w:color w:val="000000"/>
              </w:rPr>
              <w:t>3级</w:t>
            </w:r>
          </w:p>
        </w:tc>
        <w:tc>
          <w:tcPr>
            <w:tcW w:w="3402" w:type="dxa"/>
          </w:tcPr>
          <w:p w:rsidR="00B23A40" w:rsidRDefault="00DD1A0D">
            <w:pPr>
              <w:rPr>
                <w:rFonts w:ascii="仿宋" w:eastAsia="仿宋" w:hAnsi="仿宋"/>
                <w:color w:val="000000"/>
              </w:rPr>
            </w:pPr>
            <w:r>
              <w:rPr>
                <w:rFonts w:ascii="仿宋" w:eastAsia="仿宋" w:hAnsi="仿宋" w:hint="eastAsia"/>
                <w:color w:val="000000"/>
              </w:rPr>
              <w:t>暂停给药，直至不良反应恢复至0～</w:t>
            </w:r>
            <w:r>
              <w:rPr>
                <w:rFonts w:ascii="仿宋" w:eastAsia="仿宋" w:hAnsi="仿宋"/>
                <w:color w:val="000000"/>
              </w:rPr>
              <w:t>1</w:t>
            </w:r>
            <w:r>
              <w:rPr>
                <w:rFonts w:ascii="仿宋" w:eastAsia="仿宋" w:hAnsi="仿宋" w:hint="eastAsia"/>
                <w:color w:val="000000"/>
              </w:rPr>
              <w:t>级</w:t>
            </w:r>
          </w:p>
        </w:tc>
      </w:tr>
      <w:tr w:rsidR="00B23A40">
        <w:tc>
          <w:tcPr>
            <w:tcW w:w="1843" w:type="dxa"/>
            <w:vMerge/>
          </w:tcPr>
          <w:p w:rsidR="00B23A40" w:rsidRDefault="00B23A40">
            <w:pPr>
              <w:rPr>
                <w:rFonts w:ascii="仿宋" w:eastAsia="仿宋" w:hAnsi="仿宋"/>
                <w:color w:val="000000"/>
              </w:rPr>
            </w:pPr>
          </w:p>
        </w:tc>
        <w:tc>
          <w:tcPr>
            <w:tcW w:w="4536" w:type="dxa"/>
          </w:tcPr>
          <w:p w:rsidR="00B23A40" w:rsidRDefault="00DD1A0D">
            <w:pPr>
              <w:rPr>
                <w:rFonts w:ascii="仿宋" w:eastAsia="仿宋" w:hAnsi="仿宋"/>
                <w:color w:val="000000"/>
              </w:rPr>
            </w:pPr>
            <w:r>
              <w:rPr>
                <w:rFonts w:ascii="仿宋" w:eastAsia="仿宋" w:hAnsi="仿宋" w:hint="eastAsia"/>
                <w:color w:val="000000"/>
              </w:rPr>
              <w:t>4级</w:t>
            </w:r>
          </w:p>
        </w:tc>
        <w:tc>
          <w:tcPr>
            <w:tcW w:w="3402" w:type="dxa"/>
          </w:tcPr>
          <w:p w:rsidR="00B23A40" w:rsidRDefault="00DD1A0D">
            <w:pPr>
              <w:rPr>
                <w:rFonts w:ascii="仿宋" w:eastAsia="仿宋" w:hAnsi="仿宋"/>
                <w:color w:val="000000"/>
              </w:rPr>
            </w:pPr>
            <w:r>
              <w:rPr>
                <w:rFonts w:ascii="仿宋" w:eastAsia="仿宋" w:hAnsi="仿宋" w:hint="eastAsia"/>
                <w:color w:val="000000"/>
              </w:rPr>
              <w:t>永久停药</w:t>
            </w:r>
          </w:p>
        </w:tc>
      </w:tr>
      <w:tr w:rsidR="00B23A40">
        <w:tc>
          <w:tcPr>
            <w:tcW w:w="1843" w:type="dxa"/>
            <w:vMerge w:val="restart"/>
          </w:tcPr>
          <w:p w:rsidR="00B23A40" w:rsidRDefault="00DD1A0D">
            <w:pPr>
              <w:rPr>
                <w:rFonts w:ascii="仿宋" w:eastAsia="仿宋" w:hAnsi="仿宋"/>
                <w:color w:val="000000"/>
              </w:rPr>
            </w:pPr>
            <w:r>
              <w:rPr>
                <w:rFonts w:ascii="仿宋" w:eastAsia="仿宋" w:hAnsi="仿宋" w:hint="eastAsia"/>
                <w:color w:val="000000"/>
              </w:rPr>
              <w:t>其他免疫相关性不良反应</w:t>
            </w:r>
          </w:p>
        </w:tc>
        <w:tc>
          <w:tcPr>
            <w:tcW w:w="4536" w:type="dxa"/>
          </w:tcPr>
          <w:p w:rsidR="00B23A40" w:rsidRDefault="00DD1A0D">
            <w:pPr>
              <w:rPr>
                <w:rFonts w:ascii="仿宋" w:eastAsia="仿宋" w:hAnsi="仿宋"/>
                <w:color w:val="000000"/>
              </w:rPr>
            </w:pPr>
            <w:r>
              <w:rPr>
                <w:rFonts w:ascii="仿宋" w:eastAsia="仿宋" w:hAnsi="仿宋" w:hint="eastAsia"/>
                <w:color w:val="000000"/>
              </w:rPr>
              <w:t>3～</w:t>
            </w:r>
            <w:r>
              <w:rPr>
                <w:rFonts w:ascii="仿宋" w:eastAsia="仿宋" w:hAnsi="仿宋"/>
                <w:color w:val="000000"/>
              </w:rPr>
              <w:t>4</w:t>
            </w:r>
            <w:r>
              <w:rPr>
                <w:rFonts w:ascii="仿宋" w:eastAsia="仿宋" w:hAnsi="仿宋" w:hint="eastAsia"/>
                <w:color w:val="000000"/>
              </w:rPr>
              <w:t>级血淀粉酶升高或脂肪酶升高</w:t>
            </w:r>
          </w:p>
          <w:p w:rsidR="00B23A40" w:rsidRDefault="00DD1A0D">
            <w:pPr>
              <w:rPr>
                <w:rFonts w:ascii="仿宋" w:eastAsia="仿宋" w:hAnsi="仿宋"/>
                <w:color w:val="000000"/>
              </w:rPr>
            </w:pPr>
            <w:r>
              <w:rPr>
                <w:rFonts w:ascii="仿宋" w:eastAsia="仿宋" w:hAnsi="仿宋" w:hint="eastAsia"/>
                <w:color w:val="000000"/>
              </w:rPr>
              <w:t>2～</w:t>
            </w:r>
            <w:r>
              <w:rPr>
                <w:rFonts w:ascii="仿宋" w:eastAsia="仿宋" w:hAnsi="仿宋"/>
                <w:color w:val="000000"/>
              </w:rPr>
              <w:t>3</w:t>
            </w:r>
            <w:r>
              <w:rPr>
                <w:rFonts w:ascii="仿宋" w:eastAsia="仿宋" w:hAnsi="仿宋" w:hint="eastAsia"/>
                <w:color w:val="000000"/>
              </w:rPr>
              <w:t>级胰腺炎</w:t>
            </w:r>
          </w:p>
          <w:p w:rsidR="00B23A40" w:rsidRDefault="00DD1A0D">
            <w:pPr>
              <w:rPr>
                <w:rFonts w:ascii="仿宋" w:eastAsia="仿宋" w:hAnsi="仿宋"/>
                <w:color w:val="000000"/>
              </w:rPr>
            </w:pPr>
            <w:r>
              <w:rPr>
                <w:rFonts w:ascii="仿宋" w:eastAsia="仿宋" w:hAnsi="仿宋" w:hint="eastAsia"/>
                <w:color w:val="000000"/>
              </w:rPr>
              <w:t>2级心肌炎</w:t>
            </w:r>
          </w:p>
          <w:p w:rsidR="00B23A40" w:rsidRDefault="00DD1A0D">
            <w:pPr>
              <w:rPr>
                <w:rFonts w:ascii="仿宋" w:eastAsia="仿宋" w:hAnsi="仿宋"/>
                <w:color w:val="000000"/>
              </w:rPr>
            </w:pPr>
            <w:r>
              <w:rPr>
                <w:rFonts w:ascii="仿宋" w:eastAsia="仿宋" w:hAnsi="仿宋" w:hint="eastAsia"/>
                <w:color w:val="000000"/>
              </w:rPr>
              <w:t>2～</w:t>
            </w:r>
            <w:r>
              <w:rPr>
                <w:rFonts w:ascii="仿宋" w:eastAsia="仿宋" w:hAnsi="仿宋"/>
                <w:color w:val="000000"/>
              </w:rPr>
              <w:t>3</w:t>
            </w:r>
            <w:r>
              <w:rPr>
                <w:rFonts w:ascii="仿宋" w:eastAsia="仿宋" w:hAnsi="仿宋" w:hint="eastAsia"/>
                <w:color w:val="000000"/>
              </w:rPr>
              <w:t>级首次发生的其他免疫相关性不良反应</w:t>
            </w:r>
          </w:p>
        </w:tc>
        <w:tc>
          <w:tcPr>
            <w:tcW w:w="3402" w:type="dxa"/>
          </w:tcPr>
          <w:p w:rsidR="00B23A40" w:rsidRDefault="00DD1A0D">
            <w:pPr>
              <w:rPr>
                <w:rFonts w:ascii="仿宋" w:eastAsia="仿宋" w:hAnsi="仿宋"/>
                <w:color w:val="000000"/>
              </w:rPr>
            </w:pPr>
            <w:r>
              <w:rPr>
                <w:rFonts w:ascii="仿宋" w:eastAsia="仿宋" w:hAnsi="仿宋" w:hint="eastAsia"/>
                <w:color w:val="000000"/>
              </w:rPr>
              <w:t>暂停给药，直至不良反应恢复至0～</w:t>
            </w:r>
            <w:r>
              <w:rPr>
                <w:rFonts w:ascii="仿宋" w:eastAsia="仿宋" w:hAnsi="仿宋"/>
                <w:color w:val="000000"/>
              </w:rPr>
              <w:t>1</w:t>
            </w:r>
            <w:r>
              <w:rPr>
                <w:rFonts w:ascii="仿宋" w:eastAsia="仿宋" w:hAnsi="仿宋" w:hint="eastAsia"/>
                <w:color w:val="000000"/>
              </w:rPr>
              <w:t>级</w:t>
            </w:r>
          </w:p>
        </w:tc>
      </w:tr>
      <w:tr w:rsidR="00B23A40">
        <w:tc>
          <w:tcPr>
            <w:tcW w:w="1843" w:type="dxa"/>
            <w:vMerge/>
          </w:tcPr>
          <w:p w:rsidR="00B23A40" w:rsidRDefault="00B23A40">
            <w:pPr>
              <w:rPr>
                <w:rFonts w:ascii="仿宋" w:eastAsia="仿宋" w:hAnsi="仿宋"/>
                <w:color w:val="000000"/>
              </w:rPr>
            </w:pPr>
          </w:p>
        </w:tc>
        <w:tc>
          <w:tcPr>
            <w:tcW w:w="4536" w:type="dxa"/>
          </w:tcPr>
          <w:p w:rsidR="00B23A40" w:rsidRDefault="00DD1A0D">
            <w:pPr>
              <w:rPr>
                <w:rFonts w:ascii="仿宋" w:eastAsia="仿宋" w:hAnsi="仿宋"/>
                <w:color w:val="000000"/>
              </w:rPr>
            </w:pPr>
            <w:r>
              <w:rPr>
                <w:rFonts w:ascii="仿宋" w:eastAsia="仿宋" w:hAnsi="仿宋" w:hint="eastAsia"/>
                <w:color w:val="000000"/>
              </w:rPr>
              <w:t>4级胰腺炎或任何级别的复发性胰腺炎</w:t>
            </w:r>
          </w:p>
          <w:p w:rsidR="00B23A40" w:rsidRDefault="00DD1A0D">
            <w:pPr>
              <w:rPr>
                <w:rFonts w:ascii="仿宋" w:eastAsia="仿宋" w:hAnsi="仿宋"/>
                <w:color w:val="000000"/>
              </w:rPr>
            </w:pPr>
            <w:r>
              <w:rPr>
                <w:rFonts w:ascii="仿宋" w:eastAsia="仿宋" w:hAnsi="仿宋" w:hint="eastAsia"/>
                <w:color w:val="000000"/>
              </w:rPr>
              <w:t>3～</w:t>
            </w:r>
            <w:r>
              <w:rPr>
                <w:rFonts w:ascii="仿宋" w:eastAsia="仿宋" w:hAnsi="仿宋"/>
                <w:color w:val="000000"/>
              </w:rPr>
              <w:t>4</w:t>
            </w:r>
            <w:r>
              <w:rPr>
                <w:rFonts w:ascii="仿宋" w:eastAsia="仿宋" w:hAnsi="仿宋" w:hint="eastAsia"/>
                <w:color w:val="000000"/>
              </w:rPr>
              <w:t>级心肌炎</w:t>
            </w:r>
          </w:p>
          <w:p w:rsidR="00B23A40" w:rsidRDefault="00DD1A0D">
            <w:pPr>
              <w:rPr>
                <w:rFonts w:ascii="仿宋" w:eastAsia="仿宋" w:hAnsi="仿宋"/>
                <w:color w:val="000000"/>
              </w:rPr>
            </w:pPr>
            <w:r>
              <w:rPr>
                <w:rFonts w:ascii="仿宋" w:eastAsia="仿宋" w:hAnsi="仿宋" w:hint="eastAsia"/>
                <w:color w:val="000000"/>
              </w:rPr>
              <w:t>3～</w:t>
            </w:r>
            <w:r>
              <w:rPr>
                <w:rFonts w:ascii="仿宋" w:eastAsia="仿宋" w:hAnsi="仿宋"/>
                <w:color w:val="000000"/>
              </w:rPr>
              <w:t>4</w:t>
            </w:r>
            <w:r>
              <w:rPr>
                <w:rFonts w:ascii="仿宋" w:eastAsia="仿宋" w:hAnsi="仿宋" w:hint="eastAsia"/>
                <w:color w:val="000000"/>
              </w:rPr>
              <w:t>级脑炎</w:t>
            </w:r>
          </w:p>
          <w:p w:rsidR="00B23A40" w:rsidRDefault="00DD1A0D">
            <w:pPr>
              <w:rPr>
                <w:rFonts w:ascii="仿宋" w:eastAsia="仿宋" w:hAnsi="仿宋"/>
                <w:color w:val="000000"/>
              </w:rPr>
            </w:pPr>
            <w:r>
              <w:rPr>
                <w:rFonts w:ascii="仿宋" w:eastAsia="仿宋" w:hAnsi="仿宋" w:hint="eastAsia"/>
                <w:color w:val="000000"/>
              </w:rPr>
              <w:t>4级首次发生的其他免疫相关性不良反应</w:t>
            </w:r>
          </w:p>
        </w:tc>
        <w:tc>
          <w:tcPr>
            <w:tcW w:w="3402" w:type="dxa"/>
          </w:tcPr>
          <w:p w:rsidR="00B23A40" w:rsidRDefault="00DD1A0D">
            <w:pPr>
              <w:rPr>
                <w:rFonts w:ascii="仿宋" w:eastAsia="仿宋" w:hAnsi="仿宋"/>
                <w:color w:val="000000"/>
              </w:rPr>
            </w:pPr>
            <w:r>
              <w:rPr>
                <w:rFonts w:ascii="仿宋" w:eastAsia="仿宋" w:hAnsi="仿宋" w:hint="eastAsia"/>
                <w:color w:val="000000"/>
              </w:rPr>
              <w:t>永久停药</w:t>
            </w:r>
          </w:p>
        </w:tc>
      </w:tr>
      <w:tr w:rsidR="00B23A40">
        <w:tc>
          <w:tcPr>
            <w:tcW w:w="1843" w:type="dxa"/>
          </w:tcPr>
          <w:p w:rsidR="00B23A40" w:rsidRDefault="00DD1A0D">
            <w:pPr>
              <w:rPr>
                <w:rFonts w:ascii="仿宋" w:eastAsia="仿宋" w:hAnsi="仿宋"/>
                <w:color w:val="000000"/>
              </w:rPr>
            </w:pPr>
            <w:r>
              <w:rPr>
                <w:rFonts w:ascii="仿宋" w:eastAsia="仿宋" w:hAnsi="仿宋" w:hint="eastAsia"/>
                <w:color w:val="000000"/>
              </w:rPr>
              <w:t>复发或持续的不良反应</w:t>
            </w:r>
          </w:p>
        </w:tc>
        <w:tc>
          <w:tcPr>
            <w:tcW w:w="4536" w:type="dxa"/>
          </w:tcPr>
          <w:p w:rsidR="00B23A40" w:rsidRDefault="00DD1A0D">
            <w:pPr>
              <w:rPr>
                <w:rFonts w:ascii="仿宋" w:eastAsia="仿宋" w:hAnsi="仿宋"/>
                <w:color w:val="000000"/>
              </w:rPr>
            </w:pPr>
            <w:r>
              <w:rPr>
                <w:rFonts w:ascii="仿宋" w:eastAsia="仿宋" w:hAnsi="仿宋" w:hint="eastAsia"/>
                <w:color w:val="000000"/>
              </w:rPr>
              <w:t>复发性3～</w:t>
            </w:r>
            <w:r>
              <w:rPr>
                <w:rFonts w:ascii="仿宋" w:eastAsia="仿宋" w:hAnsi="仿宋"/>
                <w:color w:val="000000"/>
              </w:rPr>
              <w:t>4</w:t>
            </w:r>
            <w:r>
              <w:rPr>
                <w:rFonts w:ascii="仿宋" w:eastAsia="仿宋" w:hAnsi="仿宋" w:hint="eastAsia"/>
                <w:color w:val="000000"/>
              </w:rPr>
              <w:t>级（除外内分泌疾病）</w:t>
            </w:r>
          </w:p>
          <w:p w:rsidR="00B23A40" w:rsidRDefault="00DD1A0D">
            <w:pPr>
              <w:rPr>
                <w:rFonts w:ascii="仿宋" w:eastAsia="仿宋" w:hAnsi="仿宋"/>
                <w:color w:val="000000"/>
              </w:rPr>
            </w:pPr>
            <w:r>
              <w:rPr>
                <w:rFonts w:ascii="仿宋" w:eastAsia="仿宋" w:hAnsi="仿宋" w:hint="eastAsia"/>
                <w:color w:val="000000"/>
              </w:rPr>
              <w:t>末次给药后1</w:t>
            </w:r>
            <w:r>
              <w:rPr>
                <w:rFonts w:ascii="仿宋" w:eastAsia="仿宋" w:hAnsi="仿宋"/>
                <w:color w:val="000000"/>
              </w:rPr>
              <w:t>2</w:t>
            </w:r>
            <w:r>
              <w:rPr>
                <w:rFonts w:ascii="仿宋" w:eastAsia="仿宋" w:hAnsi="仿宋" w:hint="eastAsia"/>
                <w:color w:val="000000"/>
              </w:rPr>
              <w:t>周内2～</w:t>
            </w:r>
            <w:r>
              <w:rPr>
                <w:rFonts w:ascii="仿宋" w:eastAsia="仿宋" w:hAnsi="仿宋"/>
                <w:color w:val="000000"/>
              </w:rPr>
              <w:t>3</w:t>
            </w:r>
            <w:r>
              <w:rPr>
                <w:rFonts w:ascii="仿宋" w:eastAsia="仿宋" w:hAnsi="仿宋" w:hint="eastAsia"/>
                <w:color w:val="000000"/>
              </w:rPr>
              <w:t>级不良反应</w:t>
            </w:r>
          </w:p>
          <w:p w:rsidR="00B23A40" w:rsidRDefault="00DD1A0D">
            <w:pPr>
              <w:rPr>
                <w:rFonts w:ascii="仿宋" w:eastAsia="仿宋" w:hAnsi="仿宋"/>
                <w:color w:val="000000"/>
              </w:rPr>
            </w:pPr>
            <w:r>
              <w:rPr>
                <w:rFonts w:ascii="仿宋" w:eastAsia="仿宋" w:hAnsi="仿宋" w:hint="eastAsia"/>
                <w:color w:val="000000"/>
              </w:rPr>
              <w:t>未改善到0～</w:t>
            </w:r>
            <w:r>
              <w:rPr>
                <w:rFonts w:ascii="仿宋" w:eastAsia="仿宋" w:hAnsi="仿宋"/>
                <w:color w:val="000000"/>
              </w:rPr>
              <w:t>1</w:t>
            </w:r>
            <w:r>
              <w:rPr>
                <w:rFonts w:ascii="仿宋" w:eastAsia="仿宋" w:hAnsi="仿宋" w:hint="eastAsia"/>
                <w:color w:val="000000"/>
              </w:rPr>
              <w:t>级（除外内分泌疾病）</w:t>
            </w:r>
          </w:p>
          <w:p w:rsidR="00B23A40" w:rsidRDefault="00DD1A0D">
            <w:pPr>
              <w:rPr>
                <w:rFonts w:ascii="仿宋" w:eastAsia="仿宋" w:hAnsi="仿宋"/>
                <w:color w:val="000000"/>
              </w:rPr>
            </w:pPr>
            <w:r>
              <w:rPr>
                <w:rFonts w:ascii="仿宋" w:eastAsia="仿宋" w:hAnsi="仿宋" w:hint="eastAsia"/>
                <w:color w:val="000000"/>
              </w:rPr>
              <w:t>末次给药后1</w:t>
            </w:r>
            <w:r>
              <w:rPr>
                <w:rFonts w:ascii="仿宋" w:eastAsia="仿宋" w:hAnsi="仿宋"/>
                <w:color w:val="000000"/>
              </w:rPr>
              <w:t>2</w:t>
            </w:r>
            <w:r>
              <w:rPr>
                <w:rFonts w:ascii="仿宋" w:eastAsia="仿宋" w:hAnsi="仿宋" w:hint="eastAsia"/>
                <w:color w:val="000000"/>
              </w:rPr>
              <w:t>周内糖皮质激素未能降至≤</w:t>
            </w:r>
            <w:r>
              <w:rPr>
                <w:rFonts w:ascii="仿宋" w:eastAsia="仿宋" w:hAnsi="仿宋"/>
                <w:color w:val="000000"/>
              </w:rPr>
              <w:lastRenderedPageBreak/>
              <w:t>10</w:t>
            </w:r>
            <w:r>
              <w:rPr>
                <w:rFonts w:ascii="仿宋" w:eastAsia="仿宋" w:hAnsi="仿宋" w:hint="eastAsia"/>
                <w:color w:val="000000"/>
              </w:rPr>
              <w:t>mg/d的强的松等效剂量</w:t>
            </w:r>
          </w:p>
        </w:tc>
        <w:tc>
          <w:tcPr>
            <w:tcW w:w="3402" w:type="dxa"/>
          </w:tcPr>
          <w:p w:rsidR="00B23A40" w:rsidRDefault="00DD1A0D">
            <w:pPr>
              <w:rPr>
                <w:rFonts w:ascii="仿宋" w:eastAsia="仿宋" w:hAnsi="仿宋"/>
                <w:color w:val="000000"/>
              </w:rPr>
            </w:pPr>
            <w:r>
              <w:rPr>
                <w:rFonts w:ascii="仿宋" w:eastAsia="仿宋" w:hAnsi="仿宋" w:hint="eastAsia"/>
                <w:color w:val="000000"/>
              </w:rPr>
              <w:lastRenderedPageBreak/>
              <w:t>永久停药</w:t>
            </w:r>
          </w:p>
        </w:tc>
      </w:tr>
      <w:tr w:rsidR="00B23A40">
        <w:tc>
          <w:tcPr>
            <w:tcW w:w="1843" w:type="dxa"/>
            <w:vMerge w:val="restart"/>
          </w:tcPr>
          <w:p w:rsidR="00B23A40" w:rsidRDefault="00DD1A0D">
            <w:pPr>
              <w:rPr>
                <w:rFonts w:ascii="仿宋" w:eastAsia="仿宋" w:hAnsi="仿宋"/>
                <w:color w:val="000000"/>
              </w:rPr>
            </w:pPr>
            <w:r>
              <w:rPr>
                <w:rFonts w:ascii="仿宋" w:eastAsia="仿宋" w:hAnsi="仿宋" w:hint="eastAsia"/>
                <w:color w:val="000000"/>
              </w:rPr>
              <w:lastRenderedPageBreak/>
              <w:t>输液反应</w:t>
            </w:r>
          </w:p>
        </w:tc>
        <w:tc>
          <w:tcPr>
            <w:tcW w:w="4536" w:type="dxa"/>
          </w:tcPr>
          <w:p w:rsidR="00B23A40" w:rsidRDefault="00DD1A0D">
            <w:pPr>
              <w:rPr>
                <w:rFonts w:ascii="仿宋" w:eastAsia="仿宋" w:hAnsi="仿宋"/>
                <w:color w:val="000000"/>
              </w:rPr>
            </w:pPr>
            <w:r>
              <w:rPr>
                <w:rFonts w:ascii="仿宋" w:eastAsia="仿宋" w:hAnsi="仿宋" w:hint="eastAsia"/>
                <w:color w:val="000000"/>
              </w:rPr>
              <w:t>2级</w:t>
            </w:r>
          </w:p>
        </w:tc>
        <w:tc>
          <w:tcPr>
            <w:tcW w:w="3402" w:type="dxa"/>
          </w:tcPr>
          <w:p w:rsidR="00B23A40" w:rsidRDefault="00DD1A0D">
            <w:pPr>
              <w:rPr>
                <w:rFonts w:ascii="仿宋" w:eastAsia="仿宋" w:hAnsi="仿宋"/>
                <w:color w:val="000000"/>
              </w:rPr>
            </w:pPr>
            <w:r>
              <w:rPr>
                <w:rFonts w:ascii="仿宋" w:eastAsia="仿宋" w:hAnsi="仿宋" w:hint="eastAsia"/>
                <w:color w:val="000000"/>
              </w:rPr>
              <w:t>降低滴速或暂停给药，当症状缓解后可考虑恢复用药并密切观察</w:t>
            </w:r>
          </w:p>
        </w:tc>
      </w:tr>
      <w:tr w:rsidR="00B23A40">
        <w:tc>
          <w:tcPr>
            <w:tcW w:w="1843" w:type="dxa"/>
            <w:vMerge/>
          </w:tcPr>
          <w:p w:rsidR="00B23A40" w:rsidRDefault="00B23A40">
            <w:pPr>
              <w:rPr>
                <w:rFonts w:ascii="仿宋" w:eastAsia="仿宋" w:hAnsi="仿宋"/>
                <w:color w:val="000000"/>
              </w:rPr>
            </w:pPr>
          </w:p>
        </w:tc>
        <w:tc>
          <w:tcPr>
            <w:tcW w:w="4536" w:type="dxa"/>
          </w:tcPr>
          <w:p w:rsidR="00B23A40" w:rsidRDefault="00DD1A0D">
            <w:pPr>
              <w:rPr>
                <w:rFonts w:ascii="仿宋" w:eastAsia="仿宋" w:hAnsi="仿宋"/>
                <w:color w:val="000000"/>
              </w:rPr>
            </w:pPr>
            <w:r>
              <w:rPr>
                <w:rFonts w:ascii="仿宋" w:eastAsia="仿宋" w:hAnsi="仿宋" w:hint="eastAsia"/>
                <w:color w:val="000000"/>
              </w:rPr>
              <w:t>3～</w:t>
            </w:r>
            <w:r>
              <w:rPr>
                <w:rFonts w:ascii="仿宋" w:eastAsia="仿宋" w:hAnsi="仿宋"/>
                <w:color w:val="000000"/>
              </w:rPr>
              <w:t>4</w:t>
            </w:r>
            <w:r>
              <w:rPr>
                <w:rFonts w:ascii="仿宋" w:eastAsia="仿宋" w:hAnsi="仿宋" w:hint="eastAsia"/>
                <w:color w:val="000000"/>
              </w:rPr>
              <w:t>级</w:t>
            </w:r>
          </w:p>
        </w:tc>
        <w:tc>
          <w:tcPr>
            <w:tcW w:w="3402" w:type="dxa"/>
          </w:tcPr>
          <w:p w:rsidR="00B23A40" w:rsidRDefault="00DD1A0D">
            <w:pPr>
              <w:rPr>
                <w:rFonts w:ascii="仿宋" w:eastAsia="仿宋" w:hAnsi="仿宋"/>
                <w:color w:val="000000"/>
              </w:rPr>
            </w:pPr>
            <w:r>
              <w:rPr>
                <w:rFonts w:ascii="仿宋" w:eastAsia="仿宋" w:hAnsi="仿宋" w:hint="eastAsia"/>
                <w:color w:val="000000"/>
              </w:rPr>
              <w:t>永久停药</w:t>
            </w:r>
          </w:p>
        </w:tc>
      </w:tr>
    </w:tbl>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6.目前本品尚无针对中重度肝功能不全患者的研究数据，轻度肝功能不全患者（Child-Pugh A级）应在医生指导下慎用本品，如需使用，无需进行计量调整；中度或重度肝功能不全（Child-Pugh B级和C级）患者不推荐使用。</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7.目前本品尚无针对中重度肾功能不全患者的研究数据，轻度肾功能不全患者应在医生指导下慎用本品，如需使用，无需进行剂量调整；中度或重度肾功能不全患者不推荐使用。</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8.接受本品治疗的HL患者最常见的不良反应（≥10%）包括发热、甲状腺功能减退症、体重增加、肺炎、上呼吸道感染、皮疹、贫血、咳嗽。最常见的3级以上的不良反应包括体重增加、贫血、输液反应、呼吸道感染、感染性肺炎、免疫相关性肺炎。</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9.本品尚无在18岁以下儿童及青少年中的安全性和有效性数据。</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10.本品在＞65岁的老年患者中应用数据有限，建议在医生的指导下慎用，如需使用，无需进行剂量调整。</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11.不建议在妊娠期间使用本品治疗。</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12.因可能干扰本品药效学活性，应避免在开始本品治疗前使用全身性糖皮质激素及其他免疫抑制剂。但是如果为</w:t>
      </w:r>
      <w:r>
        <w:rPr>
          <w:rFonts w:ascii="仿宋" w:eastAsia="仿宋" w:hAnsi="仿宋" w:hint="eastAsia"/>
          <w:color w:val="000000"/>
          <w:sz w:val="32"/>
          <w:szCs w:val="32"/>
        </w:rPr>
        <w:lastRenderedPageBreak/>
        <w:t>了治疗免疫相关性不良反应，可在开始本品治疗后使用全身糖皮质激素及其他免疫抑制剂。</w:t>
      </w:r>
    </w:p>
    <w:p w:rsidR="00B23A40" w:rsidRDefault="00DD1A0D">
      <w:pPr>
        <w:spacing w:line="360" w:lineRule="auto"/>
        <w:ind w:firstLineChars="200" w:firstLine="640"/>
        <w:rPr>
          <w:rFonts w:ascii="黑体" w:eastAsia="黑体" w:hAnsi="黑体"/>
          <w:color w:val="000000"/>
          <w:sz w:val="32"/>
          <w:szCs w:val="32"/>
        </w:rPr>
      </w:pPr>
      <w:r>
        <w:rPr>
          <w:rFonts w:ascii="黑体" w:eastAsia="黑体" w:hAnsi="黑体" w:hint="eastAsia"/>
          <w:color w:val="000000"/>
          <w:sz w:val="32"/>
          <w:szCs w:val="32"/>
        </w:rPr>
        <w:t>九、</w:t>
      </w:r>
      <w:r>
        <w:rPr>
          <w:rFonts w:ascii="黑体" w:eastAsia="黑体" w:hAnsi="黑体"/>
          <w:color w:val="000000"/>
          <w:sz w:val="32"/>
          <w:szCs w:val="32"/>
        </w:rPr>
        <w:t>卡瑞利珠单抗</w:t>
      </w:r>
      <w:r>
        <w:rPr>
          <w:rFonts w:ascii="黑体" w:eastAsia="黑体" w:hAnsi="黑体" w:hint="eastAsia"/>
          <w:color w:val="000000"/>
          <w:sz w:val="32"/>
          <w:szCs w:val="32"/>
        </w:rPr>
        <w:t xml:space="preserve"> Camrelizumab</w:t>
      </w:r>
    </w:p>
    <w:p w:rsidR="00B23A40" w:rsidRDefault="00DD1A0D">
      <w:pPr>
        <w:spacing w:line="360" w:lineRule="auto"/>
        <w:ind w:firstLineChars="200" w:firstLine="643"/>
        <w:rPr>
          <w:rFonts w:ascii="仿宋" w:eastAsia="仿宋" w:hAnsi="仿宋"/>
          <w:color w:val="000000"/>
          <w:sz w:val="32"/>
          <w:szCs w:val="32"/>
        </w:rPr>
      </w:pPr>
      <w:r>
        <w:rPr>
          <w:rFonts w:ascii="仿宋" w:eastAsia="仿宋" w:hAnsi="仿宋" w:hint="eastAsia"/>
          <w:b/>
          <w:color w:val="000000"/>
          <w:sz w:val="32"/>
          <w:szCs w:val="32"/>
        </w:rPr>
        <w:t>制剂与规格：注射液</w:t>
      </w:r>
      <w:r>
        <w:rPr>
          <w:rFonts w:ascii="仿宋" w:eastAsia="仿宋" w:hAnsi="仿宋" w:hint="eastAsia"/>
          <w:color w:val="000000"/>
          <w:sz w:val="32"/>
          <w:szCs w:val="32"/>
        </w:rPr>
        <w:t>：200mg/瓶</w:t>
      </w:r>
    </w:p>
    <w:p w:rsidR="00B23A40" w:rsidRDefault="00DD1A0D">
      <w:pPr>
        <w:spacing w:line="360" w:lineRule="auto"/>
        <w:ind w:firstLineChars="200" w:firstLine="643"/>
        <w:rPr>
          <w:rFonts w:ascii="仿宋" w:eastAsia="仿宋" w:hAnsi="仿宋"/>
          <w:color w:val="000000"/>
          <w:sz w:val="32"/>
          <w:szCs w:val="32"/>
        </w:rPr>
      </w:pPr>
      <w:r>
        <w:rPr>
          <w:rFonts w:ascii="仿宋" w:eastAsia="仿宋" w:hAnsi="仿宋" w:hint="eastAsia"/>
          <w:b/>
          <w:color w:val="000000"/>
          <w:sz w:val="32"/>
          <w:szCs w:val="32"/>
        </w:rPr>
        <w:t>适应证：</w:t>
      </w:r>
      <w:r>
        <w:rPr>
          <w:rFonts w:ascii="仿宋" w:eastAsia="仿宋" w:hAnsi="仿宋" w:hint="eastAsia"/>
          <w:color w:val="000000"/>
          <w:sz w:val="32"/>
          <w:szCs w:val="32"/>
        </w:rPr>
        <w:t>本品适用于至少经过二线系统化疗的复发或难治经典型霍奇金淋巴瘤患者的治疗。</w:t>
      </w:r>
    </w:p>
    <w:p w:rsidR="00B23A40" w:rsidRDefault="00DD1A0D">
      <w:pPr>
        <w:spacing w:line="360" w:lineRule="auto"/>
        <w:ind w:firstLineChars="200" w:firstLine="643"/>
        <w:rPr>
          <w:rFonts w:ascii="仿宋" w:eastAsia="仿宋" w:hAnsi="仿宋"/>
          <w:b/>
          <w:color w:val="000000"/>
          <w:sz w:val="32"/>
          <w:szCs w:val="32"/>
        </w:rPr>
      </w:pPr>
      <w:r>
        <w:rPr>
          <w:rFonts w:ascii="仿宋" w:eastAsia="仿宋" w:hAnsi="仿宋" w:hint="eastAsia"/>
          <w:b/>
          <w:color w:val="000000"/>
          <w:sz w:val="32"/>
          <w:szCs w:val="32"/>
        </w:rPr>
        <w:t>合理用药要点：</w:t>
      </w:r>
    </w:p>
    <w:p w:rsidR="00B23A40" w:rsidRDefault="00DD1A0D">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1.用药前必须明确诊断为经典型霍奇金淋巴瘤。</w:t>
      </w:r>
    </w:p>
    <w:p w:rsidR="00B23A40" w:rsidRDefault="00DD1A0D">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2.应该按照相关疾病指南，治疗前做基线评估，治疗期间定期监测治疗反应及毒性。</w:t>
      </w:r>
    </w:p>
    <w:p w:rsidR="00B23A40" w:rsidRDefault="00DD1A0D">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3.本品采用静脉输注的方式给药，静脉输注的推荐剂量为200mg，每2周给药一次，直至疾病进展或出现不可接受的毒性。</w:t>
      </w:r>
    </w:p>
    <w:p w:rsidR="00B23A40" w:rsidRDefault="00DD1A0D">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4.有可能观察到非典型反应。如果患者临床症状稳定或持续减轻，即使有疾病进展的初步证据，基于总体临床获益的判断，可考虑继续应用本品治疗，直至证实疾病进展。</w:t>
      </w:r>
    </w:p>
    <w:p w:rsidR="00B23A40" w:rsidRDefault="00DD1A0D">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5.如出现以下免疫相关性不良反应，根据个体患者的安全性和耐受性，可能需要暂停给药或永久停药。不建议增加或减少剂量。有关暂停给药和永久停药的指南，详见表4所述。</w:t>
      </w:r>
    </w:p>
    <w:p w:rsidR="00B23A40" w:rsidRDefault="00DD1A0D">
      <w:pPr>
        <w:pStyle w:val="af0"/>
        <w:spacing w:line="360" w:lineRule="auto"/>
        <w:ind w:left="480" w:firstLineChars="850" w:firstLine="1792"/>
        <w:rPr>
          <w:rFonts w:ascii="仿宋" w:eastAsia="仿宋" w:hAnsi="仿宋" w:cs="Times New Roman"/>
          <w:b/>
          <w:color w:val="000000"/>
        </w:rPr>
      </w:pPr>
      <w:r>
        <w:rPr>
          <w:rFonts w:ascii="仿宋" w:eastAsia="仿宋" w:hAnsi="仿宋" w:cs="Times New Roman" w:hint="eastAsia"/>
          <w:b/>
          <w:color w:val="000000"/>
        </w:rPr>
        <w:t>表4卡瑞利珠单抗治疗调整方案</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536"/>
        <w:gridCol w:w="3402"/>
      </w:tblGrid>
      <w:tr w:rsidR="00B23A40">
        <w:tc>
          <w:tcPr>
            <w:tcW w:w="1843" w:type="dxa"/>
          </w:tcPr>
          <w:p w:rsidR="00B23A40" w:rsidRDefault="00DD1A0D">
            <w:pPr>
              <w:rPr>
                <w:rFonts w:ascii="仿宋" w:eastAsia="仿宋" w:hAnsi="仿宋"/>
                <w:b/>
                <w:color w:val="000000"/>
              </w:rPr>
            </w:pPr>
            <w:r>
              <w:rPr>
                <w:rFonts w:ascii="仿宋" w:eastAsia="仿宋" w:hAnsi="仿宋" w:hint="eastAsia"/>
                <w:b/>
                <w:color w:val="000000"/>
              </w:rPr>
              <w:t>免疫相关性不良反应</w:t>
            </w:r>
          </w:p>
        </w:tc>
        <w:tc>
          <w:tcPr>
            <w:tcW w:w="4536" w:type="dxa"/>
          </w:tcPr>
          <w:p w:rsidR="00B23A40" w:rsidRDefault="00DD1A0D">
            <w:pPr>
              <w:rPr>
                <w:rFonts w:ascii="仿宋" w:eastAsia="仿宋" w:hAnsi="仿宋"/>
                <w:b/>
                <w:color w:val="000000"/>
              </w:rPr>
            </w:pPr>
            <w:r>
              <w:rPr>
                <w:rFonts w:ascii="仿宋" w:eastAsia="仿宋" w:hAnsi="仿宋" w:hint="eastAsia"/>
                <w:b/>
                <w:color w:val="000000"/>
              </w:rPr>
              <w:t>严重程度</w:t>
            </w:r>
          </w:p>
        </w:tc>
        <w:tc>
          <w:tcPr>
            <w:tcW w:w="3402" w:type="dxa"/>
          </w:tcPr>
          <w:p w:rsidR="00B23A40" w:rsidRDefault="00DD1A0D">
            <w:pPr>
              <w:rPr>
                <w:rFonts w:ascii="仿宋" w:eastAsia="仿宋" w:hAnsi="仿宋"/>
                <w:b/>
                <w:color w:val="000000"/>
              </w:rPr>
            </w:pPr>
            <w:r>
              <w:rPr>
                <w:rFonts w:ascii="仿宋" w:eastAsia="仿宋" w:hAnsi="仿宋" w:hint="eastAsia"/>
                <w:b/>
                <w:color w:val="000000"/>
              </w:rPr>
              <w:t>治疗调整</w:t>
            </w:r>
          </w:p>
        </w:tc>
      </w:tr>
      <w:tr w:rsidR="00B23A40">
        <w:tc>
          <w:tcPr>
            <w:tcW w:w="1843" w:type="dxa"/>
            <w:vMerge w:val="restart"/>
          </w:tcPr>
          <w:p w:rsidR="00B23A40" w:rsidRDefault="00DD1A0D">
            <w:pPr>
              <w:rPr>
                <w:rFonts w:ascii="仿宋" w:eastAsia="仿宋" w:hAnsi="仿宋"/>
                <w:color w:val="000000"/>
                <w:vertAlign w:val="superscript"/>
              </w:rPr>
            </w:pPr>
            <w:r>
              <w:rPr>
                <w:rFonts w:ascii="仿宋" w:eastAsia="仿宋" w:hAnsi="仿宋" w:hint="eastAsia"/>
                <w:color w:val="000000"/>
              </w:rPr>
              <w:t>反应性毛细血管</w:t>
            </w:r>
            <w:r>
              <w:rPr>
                <w:rFonts w:ascii="仿宋" w:eastAsia="仿宋" w:hAnsi="仿宋" w:hint="eastAsia"/>
                <w:color w:val="000000"/>
              </w:rPr>
              <w:lastRenderedPageBreak/>
              <w:t>增生症</w:t>
            </w:r>
            <w:r>
              <w:rPr>
                <w:rFonts w:ascii="仿宋" w:eastAsia="仿宋" w:hAnsi="仿宋"/>
                <w:color w:val="000000"/>
                <w:vertAlign w:val="superscript"/>
              </w:rPr>
              <w:t>*</w:t>
            </w:r>
          </w:p>
        </w:tc>
        <w:tc>
          <w:tcPr>
            <w:tcW w:w="4536" w:type="dxa"/>
          </w:tcPr>
          <w:p w:rsidR="00B23A40" w:rsidRDefault="00DD1A0D">
            <w:pPr>
              <w:rPr>
                <w:rFonts w:ascii="仿宋" w:eastAsia="仿宋" w:hAnsi="仿宋"/>
                <w:color w:val="000000"/>
              </w:rPr>
            </w:pPr>
            <w:r>
              <w:rPr>
                <w:rFonts w:ascii="仿宋" w:eastAsia="仿宋" w:hAnsi="仿宋" w:hint="eastAsia"/>
                <w:color w:val="000000"/>
              </w:rPr>
              <w:lastRenderedPageBreak/>
              <w:t>3级</w:t>
            </w:r>
          </w:p>
        </w:tc>
        <w:tc>
          <w:tcPr>
            <w:tcW w:w="3402" w:type="dxa"/>
          </w:tcPr>
          <w:p w:rsidR="00B23A40" w:rsidRDefault="00DD1A0D">
            <w:pPr>
              <w:rPr>
                <w:rFonts w:ascii="仿宋" w:eastAsia="仿宋" w:hAnsi="仿宋"/>
                <w:color w:val="000000"/>
              </w:rPr>
            </w:pPr>
            <w:r>
              <w:rPr>
                <w:rFonts w:ascii="仿宋" w:eastAsia="仿宋" w:hAnsi="仿宋" w:hint="eastAsia"/>
                <w:color w:val="000000"/>
              </w:rPr>
              <w:t>暂停用药</w:t>
            </w:r>
          </w:p>
        </w:tc>
      </w:tr>
      <w:tr w:rsidR="00B23A40">
        <w:tc>
          <w:tcPr>
            <w:tcW w:w="1843" w:type="dxa"/>
            <w:vMerge/>
          </w:tcPr>
          <w:p w:rsidR="00B23A40" w:rsidRDefault="00B23A40">
            <w:pPr>
              <w:rPr>
                <w:rFonts w:ascii="仿宋" w:eastAsia="仿宋" w:hAnsi="仿宋"/>
                <w:color w:val="000000"/>
              </w:rPr>
            </w:pPr>
          </w:p>
        </w:tc>
        <w:tc>
          <w:tcPr>
            <w:tcW w:w="4536" w:type="dxa"/>
          </w:tcPr>
          <w:p w:rsidR="00B23A40" w:rsidRDefault="00DD1A0D">
            <w:pPr>
              <w:rPr>
                <w:rFonts w:ascii="仿宋" w:eastAsia="仿宋" w:hAnsi="仿宋"/>
                <w:color w:val="000000"/>
              </w:rPr>
            </w:pPr>
            <w:r>
              <w:rPr>
                <w:rFonts w:ascii="仿宋" w:eastAsia="仿宋" w:hAnsi="仿宋" w:hint="eastAsia"/>
                <w:color w:val="000000"/>
              </w:rPr>
              <w:t>4级</w:t>
            </w:r>
          </w:p>
        </w:tc>
        <w:tc>
          <w:tcPr>
            <w:tcW w:w="3402" w:type="dxa"/>
          </w:tcPr>
          <w:p w:rsidR="00B23A40" w:rsidRDefault="00DD1A0D">
            <w:pPr>
              <w:rPr>
                <w:rFonts w:ascii="仿宋" w:eastAsia="仿宋" w:hAnsi="仿宋"/>
                <w:color w:val="000000"/>
              </w:rPr>
            </w:pPr>
            <w:r>
              <w:rPr>
                <w:rFonts w:ascii="仿宋" w:eastAsia="仿宋" w:hAnsi="仿宋" w:hint="eastAsia"/>
                <w:color w:val="000000"/>
              </w:rPr>
              <w:t>永久停药</w:t>
            </w:r>
          </w:p>
        </w:tc>
      </w:tr>
      <w:tr w:rsidR="00B23A40">
        <w:tc>
          <w:tcPr>
            <w:tcW w:w="1843" w:type="dxa"/>
            <w:vMerge w:val="restart"/>
          </w:tcPr>
          <w:p w:rsidR="00B23A40" w:rsidRDefault="00DD1A0D">
            <w:pPr>
              <w:rPr>
                <w:rFonts w:ascii="仿宋" w:eastAsia="仿宋" w:hAnsi="仿宋"/>
                <w:color w:val="000000"/>
              </w:rPr>
            </w:pPr>
            <w:r>
              <w:rPr>
                <w:rFonts w:ascii="仿宋" w:eastAsia="仿宋" w:hAnsi="仿宋" w:hint="eastAsia"/>
                <w:color w:val="000000"/>
              </w:rPr>
              <w:lastRenderedPageBreak/>
              <w:t>肺炎</w:t>
            </w:r>
          </w:p>
        </w:tc>
        <w:tc>
          <w:tcPr>
            <w:tcW w:w="4536" w:type="dxa"/>
          </w:tcPr>
          <w:p w:rsidR="00B23A40" w:rsidRDefault="00DD1A0D">
            <w:pPr>
              <w:rPr>
                <w:rFonts w:ascii="仿宋" w:eastAsia="仿宋" w:hAnsi="仿宋"/>
                <w:color w:val="000000"/>
              </w:rPr>
            </w:pPr>
            <w:r>
              <w:rPr>
                <w:rFonts w:ascii="仿宋" w:eastAsia="仿宋" w:hAnsi="仿宋" w:hint="eastAsia"/>
                <w:color w:val="000000"/>
              </w:rPr>
              <w:t>2级</w:t>
            </w:r>
          </w:p>
        </w:tc>
        <w:tc>
          <w:tcPr>
            <w:tcW w:w="3402" w:type="dxa"/>
          </w:tcPr>
          <w:p w:rsidR="00B23A40" w:rsidRDefault="00DD1A0D">
            <w:pPr>
              <w:rPr>
                <w:rFonts w:ascii="仿宋" w:eastAsia="仿宋" w:hAnsi="仿宋"/>
                <w:color w:val="000000"/>
              </w:rPr>
            </w:pPr>
            <w:r>
              <w:rPr>
                <w:rFonts w:ascii="仿宋" w:eastAsia="仿宋" w:hAnsi="仿宋" w:hint="eastAsia"/>
                <w:color w:val="000000"/>
              </w:rPr>
              <w:t>暂停给药，直至不良反应恢复至0～</w:t>
            </w:r>
            <w:r>
              <w:rPr>
                <w:rFonts w:ascii="仿宋" w:eastAsia="仿宋" w:hAnsi="仿宋"/>
                <w:color w:val="000000"/>
              </w:rPr>
              <w:t>1</w:t>
            </w:r>
            <w:r>
              <w:rPr>
                <w:rFonts w:ascii="仿宋" w:eastAsia="仿宋" w:hAnsi="仿宋" w:hint="eastAsia"/>
                <w:color w:val="000000"/>
              </w:rPr>
              <w:t>级</w:t>
            </w:r>
          </w:p>
        </w:tc>
      </w:tr>
      <w:tr w:rsidR="00B23A40">
        <w:tc>
          <w:tcPr>
            <w:tcW w:w="1843" w:type="dxa"/>
            <w:vMerge/>
          </w:tcPr>
          <w:p w:rsidR="00B23A40" w:rsidRDefault="00B23A40">
            <w:pPr>
              <w:rPr>
                <w:rFonts w:ascii="仿宋" w:eastAsia="仿宋" w:hAnsi="仿宋"/>
                <w:color w:val="000000"/>
              </w:rPr>
            </w:pPr>
          </w:p>
        </w:tc>
        <w:tc>
          <w:tcPr>
            <w:tcW w:w="4536" w:type="dxa"/>
          </w:tcPr>
          <w:p w:rsidR="00B23A40" w:rsidRDefault="00DD1A0D">
            <w:pPr>
              <w:rPr>
                <w:rFonts w:ascii="仿宋" w:eastAsia="仿宋" w:hAnsi="仿宋"/>
                <w:color w:val="000000"/>
              </w:rPr>
            </w:pPr>
            <w:r>
              <w:rPr>
                <w:rFonts w:ascii="仿宋" w:eastAsia="仿宋" w:hAnsi="仿宋" w:hint="eastAsia"/>
                <w:color w:val="000000"/>
              </w:rPr>
              <w:t>3～</w:t>
            </w:r>
            <w:r>
              <w:rPr>
                <w:rFonts w:ascii="仿宋" w:eastAsia="仿宋" w:hAnsi="仿宋"/>
                <w:color w:val="000000"/>
              </w:rPr>
              <w:t>4</w:t>
            </w:r>
            <w:r>
              <w:rPr>
                <w:rFonts w:ascii="仿宋" w:eastAsia="仿宋" w:hAnsi="仿宋" w:hint="eastAsia"/>
                <w:color w:val="000000"/>
              </w:rPr>
              <w:t>级或复发性2级</w:t>
            </w:r>
          </w:p>
        </w:tc>
        <w:tc>
          <w:tcPr>
            <w:tcW w:w="3402" w:type="dxa"/>
          </w:tcPr>
          <w:p w:rsidR="00B23A40" w:rsidRDefault="00DD1A0D">
            <w:pPr>
              <w:rPr>
                <w:rFonts w:ascii="仿宋" w:eastAsia="仿宋" w:hAnsi="仿宋"/>
                <w:color w:val="000000"/>
              </w:rPr>
            </w:pPr>
            <w:r>
              <w:rPr>
                <w:rFonts w:ascii="仿宋" w:eastAsia="仿宋" w:hAnsi="仿宋" w:hint="eastAsia"/>
                <w:color w:val="000000"/>
              </w:rPr>
              <w:t>永久停药</w:t>
            </w:r>
          </w:p>
        </w:tc>
      </w:tr>
      <w:tr w:rsidR="00B23A40">
        <w:tc>
          <w:tcPr>
            <w:tcW w:w="1843" w:type="dxa"/>
            <w:vMerge w:val="restart"/>
          </w:tcPr>
          <w:p w:rsidR="00B23A40" w:rsidRDefault="00DD1A0D">
            <w:pPr>
              <w:rPr>
                <w:rFonts w:ascii="仿宋" w:eastAsia="仿宋" w:hAnsi="仿宋"/>
                <w:color w:val="000000"/>
              </w:rPr>
            </w:pPr>
            <w:r>
              <w:rPr>
                <w:rFonts w:ascii="仿宋" w:eastAsia="仿宋" w:hAnsi="仿宋" w:hint="eastAsia"/>
                <w:color w:val="000000"/>
              </w:rPr>
              <w:t>腹泻及结肠炎</w:t>
            </w:r>
          </w:p>
        </w:tc>
        <w:tc>
          <w:tcPr>
            <w:tcW w:w="4536" w:type="dxa"/>
          </w:tcPr>
          <w:p w:rsidR="00B23A40" w:rsidRDefault="00DD1A0D">
            <w:pPr>
              <w:rPr>
                <w:rFonts w:ascii="仿宋" w:eastAsia="仿宋" w:hAnsi="仿宋"/>
                <w:color w:val="000000"/>
              </w:rPr>
            </w:pPr>
            <w:r>
              <w:rPr>
                <w:rFonts w:ascii="仿宋" w:eastAsia="仿宋" w:hAnsi="仿宋" w:hint="eastAsia"/>
                <w:color w:val="000000"/>
              </w:rPr>
              <w:t>2级或3级</w:t>
            </w:r>
          </w:p>
        </w:tc>
        <w:tc>
          <w:tcPr>
            <w:tcW w:w="3402" w:type="dxa"/>
          </w:tcPr>
          <w:p w:rsidR="00B23A40" w:rsidRDefault="00DD1A0D">
            <w:pPr>
              <w:rPr>
                <w:rFonts w:ascii="仿宋" w:eastAsia="仿宋" w:hAnsi="仿宋"/>
                <w:color w:val="000000"/>
              </w:rPr>
            </w:pPr>
            <w:r>
              <w:rPr>
                <w:rFonts w:ascii="仿宋" w:eastAsia="仿宋" w:hAnsi="仿宋" w:hint="eastAsia"/>
                <w:color w:val="000000"/>
              </w:rPr>
              <w:t>暂停给药，直至不良反应恢复至0～</w:t>
            </w:r>
            <w:r>
              <w:rPr>
                <w:rFonts w:ascii="仿宋" w:eastAsia="仿宋" w:hAnsi="仿宋"/>
                <w:color w:val="000000"/>
              </w:rPr>
              <w:t>1</w:t>
            </w:r>
            <w:r>
              <w:rPr>
                <w:rFonts w:ascii="仿宋" w:eastAsia="仿宋" w:hAnsi="仿宋" w:hint="eastAsia"/>
                <w:color w:val="000000"/>
              </w:rPr>
              <w:t>级</w:t>
            </w:r>
          </w:p>
        </w:tc>
      </w:tr>
      <w:tr w:rsidR="00B23A40">
        <w:tc>
          <w:tcPr>
            <w:tcW w:w="1843" w:type="dxa"/>
            <w:vMerge/>
          </w:tcPr>
          <w:p w:rsidR="00B23A40" w:rsidRDefault="00B23A40">
            <w:pPr>
              <w:rPr>
                <w:rFonts w:ascii="仿宋" w:eastAsia="仿宋" w:hAnsi="仿宋"/>
                <w:color w:val="000000"/>
              </w:rPr>
            </w:pPr>
          </w:p>
        </w:tc>
        <w:tc>
          <w:tcPr>
            <w:tcW w:w="4536" w:type="dxa"/>
          </w:tcPr>
          <w:p w:rsidR="00B23A40" w:rsidRDefault="00DD1A0D">
            <w:pPr>
              <w:rPr>
                <w:rFonts w:ascii="仿宋" w:eastAsia="仿宋" w:hAnsi="仿宋"/>
                <w:color w:val="000000"/>
              </w:rPr>
            </w:pPr>
            <w:r>
              <w:rPr>
                <w:rFonts w:ascii="仿宋" w:eastAsia="仿宋" w:hAnsi="仿宋" w:hint="eastAsia"/>
                <w:color w:val="000000"/>
              </w:rPr>
              <w:t>4级</w:t>
            </w:r>
          </w:p>
        </w:tc>
        <w:tc>
          <w:tcPr>
            <w:tcW w:w="3402" w:type="dxa"/>
          </w:tcPr>
          <w:p w:rsidR="00B23A40" w:rsidRDefault="00DD1A0D">
            <w:pPr>
              <w:rPr>
                <w:rFonts w:ascii="仿宋" w:eastAsia="仿宋" w:hAnsi="仿宋"/>
                <w:color w:val="000000"/>
              </w:rPr>
            </w:pPr>
            <w:r>
              <w:rPr>
                <w:rFonts w:ascii="仿宋" w:eastAsia="仿宋" w:hAnsi="仿宋" w:hint="eastAsia"/>
                <w:color w:val="000000"/>
              </w:rPr>
              <w:t>永久停药</w:t>
            </w:r>
          </w:p>
        </w:tc>
      </w:tr>
      <w:tr w:rsidR="00B23A40">
        <w:tc>
          <w:tcPr>
            <w:tcW w:w="1843" w:type="dxa"/>
            <w:vMerge w:val="restart"/>
          </w:tcPr>
          <w:p w:rsidR="00B23A40" w:rsidRDefault="00DD1A0D">
            <w:pPr>
              <w:rPr>
                <w:rFonts w:ascii="仿宋" w:eastAsia="仿宋" w:hAnsi="仿宋"/>
                <w:color w:val="000000"/>
              </w:rPr>
            </w:pPr>
            <w:r>
              <w:rPr>
                <w:rFonts w:ascii="仿宋" w:eastAsia="仿宋" w:hAnsi="仿宋" w:hint="eastAsia"/>
                <w:color w:val="000000"/>
              </w:rPr>
              <w:t>肝炎</w:t>
            </w:r>
          </w:p>
        </w:tc>
        <w:tc>
          <w:tcPr>
            <w:tcW w:w="4536" w:type="dxa"/>
          </w:tcPr>
          <w:p w:rsidR="00B23A40" w:rsidRDefault="00DD1A0D">
            <w:pPr>
              <w:rPr>
                <w:rFonts w:ascii="仿宋" w:eastAsia="仿宋" w:hAnsi="仿宋"/>
                <w:color w:val="000000"/>
              </w:rPr>
            </w:pPr>
            <w:r>
              <w:rPr>
                <w:rFonts w:ascii="仿宋" w:eastAsia="仿宋" w:hAnsi="仿宋" w:hint="eastAsia"/>
                <w:color w:val="000000"/>
              </w:rPr>
              <w:t>2级，天冬氨酸氨基转移酶（A</w:t>
            </w:r>
            <w:r>
              <w:rPr>
                <w:rFonts w:ascii="仿宋" w:eastAsia="仿宋" w:hAnsi="仿宋"/>
                <w:color w:val="000000"/>
              </w:rPr>
              <w:t>ST</w:t>
            </w:r>
            <w:r>
              <w:rPr>
                <w:rFonts w:ascii="仿宋" w:eastAsia="仿宋" w:hAnsi="仿宋" w:hint="eastAsia"/>
                <w:color w:val="000000"/>
              </w:rPr>
              <w:t>）或丙氨酸氨基转移酶（A</w:t>
            </w:r>
            <w:r>
              <w:rPr>
                <w:rFonts w:ascii="仿宋" w:eastAsia="仿宋" w:hAnsi="仿宋"/>
                <w:color w:val="000000"/>
              </w:rPr>
              <w:t>LT</w:t>
            </w:r>
            <w:r>
              <w:rPr>
                <w:rFonts w:ascii="仿宋" w:eastAsia="仿宋" w:hAnsi="仿宋" w:hint="eastAsia"/>
                <w:color w:val="000000"/>
              </w:rPr>
              <w:t>）在3～</w:t>
            </w:r>
            <w:r>
              <w:rPr>
                <w:rFonts w:ascii="仿宋" w:eastAsia="仿宋" w:hAnsi="仿宋"/>
                <w:color w:val="000000"/>
              </w:rPr>
              <w:t>5</w:t>
            </w:r>
            <w:r>
              <w:rPr>
                <w:rFonts w:ascii="仿宋" w:eastAsia="仿宋" w:hAnsi="仿宋" w:hint="eastAsia"/>
                <w:color w:val="000000"/>
              </w:rPr>
              <w:t>倍正常值上限（U</w:t>
            </w:r>
            <w:r>
              <w:rPr>
                <w:rFonts w:ascii="仿宋" w:eastAsia="仿宋" w:hAnsi="仿宋"/>
                <w:color w:val="000000"/>
              </w:rPr>
              <w:t>LN</w:t>
            </w:r>
            <w:r>
              <w:rPr>
                <w:rFonts w:ascii="仿宋" w:eastAsia="仿宋" w:hAnsi="仿宋" w:hint="eastAsia"/>
                <w:color w:val="000000"/>
              </w:rPr>
              <w:t>）或总胆红素（T</w:t>
            </w:r>
            <w:r>
              <w:rPr>
                <w:rFonts w:ascii="仿宋" w:eastAsia="仿宋" w:hAnsi="仿宋"/>
                <w:color w:val="000000"/>
              </w:rPr>
              <w:t>BIL</w:t>
            </w:r>
            <w:r>
              <w:rPr>
                <w:rFonts w:ascii="仿宋" w:eastAsia="仿宋" w:hAnsi="仿宋" w:hint="eastAsia"/>
                <w:color w:val="000000"/>
              </w:rPr>
              <w:t>）在1</w:t>
            </w:r>
            <w:r>
              <w:rPr>
                <w:rFonts w:ascii="仿宋" w:eastAsia="仿宋" w:hAnsi="仿宋"/>
                <w:color w:val="000000"/>
              </w:rPr>
              <w:t>.5</w:t>
            </w:r>
            <w:r>
              <w:rPr>
                <w:rFonts w:ascii="仿宋" w:eastAsia="仿宋" w:hAnsi="仿宋" w:hint="eastAsia"/>
                <w:color w:val="000000"/>
              </w:rPr>
              <w:t>～</w:t>
            </w:r>
            <w:r>
              <w:rPr>
                <w:rFonts w:ascii="仿宋" w:eastAsia="仿宋" w:hAnsi="仿宋"/>
                <w:color w:val="000000"/>
              </w:rPr>
              <w:t>3</w:t>
            </w:r>
            <w:r>
              <w:rPr>
                <w:rFonts w:ascii="仿宋" w:eastAsia="仿宋" w:hAnsi="仿宋" w:hint="eastAsia"/>
                <w:color w:val="000000"/>
              </w:rPr>
              <w:t>倍U</w:t>
            </w:r>
            <w:r>
              <w:rPr>
                <w:rFonts w:ascii="仿宋" w:eastAsia="仿宋" w:hAnsi="仿宋"/>
                <w:color w:val="000000"/>
              </w:rPr>
              <w:t>LN</w:t>
            </w:r>
          </w:p>
        </w:tc>
        <w:tc>
          <w:tcPr>
            <w:tcW w:w="3402" w:type="dxa"/>
          </w:tcPr>
          <w:p w:rsidR="00B23A40" w:rsidRDefault="00DD1A0D">
            <w:pPr>
              <w:rPr>
                <w:rFonts w:ascii="仿宋" w:eastAsia="仿宋" w:hAnsi="仿宋"/>
                <w:color w:val="000000"/>
              </w:rPr>
            </w:pPr>
            <w:r>
              <w:rPr>
                <w:rFonts w:ascii="仿宋" w:eastAsia="仿宋" w:hAnsi="仿宋" w:hint="eastAsia"/>
                <w:color w:val="000000"/>
              </w:rPr>
              <w:t>暂停给药，直至不良反应恢复至0～</w:t>
            </w:r>
            <w:r>
              <w:rPr>
                <w:rFonts w:ascii="仿宋" w:eastAsia="仿宋" w:hAnsi="仿宋"/>
                <w:color w:val="000000"/>
              </w:rPr>
              <w:t>1</w:t>
            </w:r>
            <w:r>
              <w:rPr>
                <w:rFonts w:ascii="仿宋" w:eastAsia="仿宋" w:hAnsi="仿宋" w:hint="eastAsia"/>
                <w:color w:val="000000"/>
              </w:rPr>
              <w:t>级</w:t>
            </w:r>
          </w:p>
        </w:tc>
      </w:tr>
      <w:tr w:rsidR="00B23A40">
        <w:tc>
          <w:tcPr>
            <w:tcW w:w="1843" w:type="dxa"/>
            <w:vMerge/>
          </w:tcPr>
          <w:p w:rsidR="00B23A40" w:rsidRDefault="00B23A40">
            <w:pPr>
              <w:rPr>
                <w:rFonts w:ascii="仿宋" w:eastAsia="仿宋" w:hAnsi="仿宋"/>
                <w:color w:val="000000"/>
              </w:rPr>
            </w:pPr>
          </w:p>
        </w:tc>
        <w:tc>
          <w:tcPr>
            <w:tcW w:w="4536" w:type="dxa"/>
          </w:tcPr>
          <w:p w:rsidR="00B23A40" w:rsidRDefault="00DD1A0D">
            <w:pPr>
              <w:rPr>
                <w:rFonts w:ascii="仿宋" w:eastAsia="仿宋" w:hAnsi="仿宋"/>
                <w:color w:val="000000"/>
              </w:rPr>
            </w:pPr>
            <w:r>
              <w:rPr>
                <w:rFonts w:ascii="仿宋" w:eastAsia="仿宋" w:hAnsi="仿宋" w:hint="eastAsia"/>
                <w:color w:val="000000"/>
              </w:rPr>
              <w:t>3～</w:t>
            </w:r>
            <w:r>
              <w:rPr>
                <w:rFonts w:ascii="仿宋" w:eastAsia="仿宋" w:hAnsi="仿宋"/>
                <w:color w:val="000000"/>
              </w:rPr>
              <w:t>4</w:t>
            </w:r>
            <w:r>
              <w:rPr>
                <w:rFonts w:ascii="仿宋" w:eastAsia="仿宋" w:hAnsi="仿宋" w:hint="eastAsia"/>
                <w:color w:val="000000"/>
              </w:rPr>
              <w:t>级，A</w:t>
            </w:r>
            <w:r>
              <w:rPr>
                <w:rFonts w:ascii="仿宋" w:eastAsia="仿宋" w:hAnsi="仿宋"/>
                <w:color w:val="000000"/>
              </w:rPr>
              <w:t>ST</w:t>
            </w:r>
            <w:r>
              <w:rPr>
                <w:rFonts w:ascii="仿宋" w:eastAsia="仿宋" w:hAnsi="仿宋" w:hint="eastAsia"/>
                <w:color w:val="000000"/>
              </w:rPr>
              <w:t>或A</w:t>
            </w:r>
            <w:r>
              <w:rPr>
                <w:rFonts w:ascii="仿宋" w:eastAsia="仿宋" w:hAnsi="仿宋"/>
                <w:color w:val="000000"/>
              </w:rPr>
              <w:t>LT</w:t>
            </w:r>
            <w:r>
              <w:rPr>
                <w:rFonts w:ascii="仿宋" w:eastAsia="仿宋" w:hAnsi="仿宋" w:hint="eastAsia"/>
                <w:color w:val="000000"/>
              </w:rPr>
              <w:t>＞5倍U</w:t>
            </w:r>
            <w:r>
              <w:rPr>
                <w:rFonts w:ascii="仿宋" w:eastAsia="仿宋" w:hAnsi="仿宋"/>
                <w:color w:val="000000"/>
              </w:rPr>
              <w:t>LN</w:t>
            </w:r>
            <w:r>
              <w:rPr>
                <w:rFonts w:ascii="仿宋" w:eastAsia="仿宋" w:hAnsi="仿宋" w:hint="eastAsia"/>
                <w:color w:val="000000"/>
              </w:rPr>
              <w:t>，或T</w:t>
            </w:r>
            <w:r>
              <w:rPr>
                <w:rFonts w:ascii="仿宋" w:eastAsia="仿宋" w:hAnsi="仿宋"/>
                <w:color w:val="000000"/>
              </w:rPr>
              <w:t>BIL</w:t>
            </w:r>
            <w:r>
              <w:rPr>
                <w:rFonts w:ascii="仿宋" w:eastAsia="仿宋" w:hAnsi="仿宋" w:hint="eastAsia"/>
                <w:color w:val="000000"/>
              </w:rPr>
              <w:t>＞3倍U</w:t>
            </w:r>
            <w:r>
              <w:rPr>
                <w:rFonts w:ascii="仿宋" w:eastAsia="仿宋" w:hAnsi="仿宋"/>
                <w:color w:val="000000"/>
              </w:rPr>
              <w:t>LN</w:t>
            </w:r>
          </w:p>
        </w:tc>
        <w:tc>
          <w:tcPr>
            <w:tcW w:w="3402" w:type="dxa"/>
          </w:tcPr>
          <w:p w:rsidR="00B23A40" w:rsidRDefault="00DD1A0D">
            <w:pPr>
              <w:rPr>
                <w:rFonts w:ascii="仿宋" w:eastAsia="仿宋" w:hAnsi="仿宋"/>
                <w:color w:val="000000"/>
              </w:rPr>
            </w:pPr>
            <w:r>
              <w:rPr>
                <w:rFonts w:ascii="仿宋" w:eastAsia="仿宋" w:hAnsi="仿宋" w:hint="eastAsia"/>
                <w:color w:val="000000"/>
              </w:rPr>
              <w:t>永久停药</w:t>
            </w:r>
          </w:p>
        </w:tc>
      </w:tr>
      <w:tr w:rsidR="00B23A40">
        <w:tc>
          <w:tcPr>
            <w:tcW w:w="1843" w:type="dxa"/>
            <w:vMerge w:val="restart"/>
          </w:tcPr>
          <w:p w:rsidR="00B23A40" w:rsidRDefault="00DD1A0D">
            <w:pPr>
              <w:rPr>
                <w:rFonts w:ascii="仿宋" w:eastAsia="仿宋" w:hAnsi="仿宋"/>
                <w:color w:val="000000"/>
              </w:rPr>
            </w:pPr>
            <w:r>
              <w:rPr>
                <w:rFonts w:ascii="仿宋" w:eastAsia="仿宋" w:hAnsi="仿宋" w:hint="eastAsia"/>
                <w:color w:val="000000"/>
              </w:rPr>
              <w:t>肾炎</w:t>
            </w:r>
          </w:p>
        </w:tc>
        <w:tc>
          <w:tcPr>
            <w:tcW w:w="4536" w:type="dxa"/>
          </w:tcPr>
          <w:p w:rsidR="00B23A40" w:rsidRDefault="00DD1A0D">
            <w:pPr>
              <w:rPr>
                <w:rFonts w:ascii="仿宋" w:eastAsia="仿宋" w:hAnsi="仿宋"/>
                <w:color w:val="000000"/>
              </w:rPr>
            </w:pPr>
            <w:r>
              <w:rPr>
                <w:rFonts w:ascii="仿宋" w:eastAsia="仿宋" w:hAnsi="仿宋" w:hint="eastAsia"/>
                <w:color w:val="000000"/>
              </w:rPr>
              <w:t>2～</w:t>
            </w:r>
            <w:r>
              <w:rPr>
                <w:rFonts w:ascii="仿宋" w:eastAsia="仿宋" w:hAnsi="仿宋"/>
                <w:color w:val="000000"/>
              </w:rPr>
              <w:t>3</w:t>
            </w:r>
            <w:r>
              <w:rPr>
                <w:rFonts w:ascii="仿宋" w:eastAsia="仿宋" w:hAnsi="仿宋" w:hint="eastAsia"/>
                <w:color w:val="000000"/>
              </w:rPr>
              <w:t>级血肌酐升高</w:t>
            </w:r>
          </w:p>
        </w:tc>
        <w:tc>
          <w:tcPr>
            <w:tcW w:w="3402" w:type="dxa"/>
          </w:tcPr>
          <w:p w:rsidR="00B23A40" w:rsidRDefault="00DD1A0D">
            <w:pPr>
              <w:rPr>
                <w:rFonts w:ascii="仿宋" w:eastAsia="仿宋" w:hAnsi="仿宋"/>
                <w:color w:val="000000"/>
              </w:rPr>
            </w:pPr>
            <w:r>
              <w:rPr>
                <w:rFonts w:ascii="仿宋" w:eastAsia="仿宋" w:hAnsi="仿宋" w:hint="eastAsia"/>
                <w:color w:val="000000"/>
              </w:rPr>
              <w:t>暂停给药，直至不良反应恢复至0～</w:t>
            </w:r>
            <w:r>
              <w:rPr>
                <w:rFonts w:ascii="仿宋" w:eastAsia="仿宋" w:hAnsi="仿宋"/>
                <w:color w:val="000000"/>
              </w:rPr>
              <w:t>1</w:t>
            </w:r>
            <w:r>
              <w:rPr>
                <w:rFonts w:ascii="仿宋" w:eastAsia="仿宋" w:hAnsi="仿宋" w:hint="eastAsia"/>
                <w:color w:val="000000"/>
              </w:rPr>
              <w:t>级</w:t>
            </w:r>
          </w:p>
        </w:tc>
      </w:tr>
      <w:tr w:rsidR="00B23A40">
        <w:tc>
          <w:tcPr>
            <w:tcW w:w="1843" w:type="dxa"/>
            <w:vMerge/>
          </w:tcPr>
          <w:p w:rsidR="00B23A40" w:rsidRDefault="00B23A40">
            <w:pPr>
              <w:rPr>
                <w:rFonts w:ascii="仿宋" w:eastAsia="仿宋" w:hAnsi="仿宋"/>
                <w:color w:val="000000"/>
              </w:rPr>
            </w:pPr>
          </w:p>
        </w:tc>
        <w:tc>
          <w:tcPr>
            <w:tcW w:w="4536" w:type="dxa"/>
          </w:tcPr>
          <w:p w:rsidR="00B23A40" w:rsidRDefault="00DD1A0D">
            <w:pPr>
              <w:rPr>
                <w:rFonts w:ascii="仿宋" w:eastAsia="仿宋" w:hAnsi="仿宋"/>
                <w:color w:val="000000"/>
              </w:rPr>
            </w:pPr>
            <w:r>
              <w:rPr>
                <w:rFonts w:ascii="仿宋" w:eastAsia="仿宋" w:hAnsi="仿宋" w:hint="eastAsia"/>
                <w:color w:val="000000"/>
              </w:rPr>
              <w:t>4级血肌酐升高</w:t>
            </w:r>
          </w:p>
        </w:tc>
        <w:tc>
          <w:tcPr>
            <w:tcW w:w="3402" w:type="dxa"/>
          </w:tcPr>
          <w:p w:rsidR="00B23A40" w:rsidRDefault="00DD1A0D">
            <w:pPr>
              <w:rPr>
                <w:rFonts w:ascii="仿宋" w:eastAsia="仿宋" w:hAnsi="仿宋"/>
                <w:color w:val="000000"/>
              </w:rPr>
            </w:pPr>
            <w:r>
              <w:rPr>
                <w:rFonts w:ascii="仿宋" w:eastAsia="仿宋" w:hAnsi="仿宋" w:hint="eastAsia"/>
                <w:color w:val="000000"/>
              </w:rPr>
              <w:t>永久停药</w:t>
            </w:r>
          </w:p>
        </w:tc>
      </w:tr>
      <w:tr w:rsidR="00B23A40">
        <w:tc>
          <w:tcPr>
            <w:tcW w:w="1843" w:type="dxa"/>
            <w:vMerge w:val="restart"/>
          </w:tcPr>
          <w:p w:rsidR="00B23A40" w:rsidRDefault="00DD1A0D">
            <w:pPr>
              <w:rPr>
                <w:rFonts w:ascii="仿宋" w:eastAsia="仿宋" w:hAnsi="仿宋"/>
                <w:color w:val="000000"/>
              </w:rPr>
            </w:pPr>
            <w:r>
              <w:rPr>
                <w:rFonts w:ascii="仿宋" w:eastAsia="仿宋" w:hAnsi="仿宋" w:hint="eastAsia"/>
                <w:color w:val="000000"/>
              </w:rPr>
              <w:t>内分泌疾病</w:t>
            </w:r>
          </w:p>
        </w:tc>
        <w:tc>
          <w:tcPr>
            <w:tcW w:w="4536" w:type="dxa"/>
          </w:tcPr>
          <w:p w:rsidR="00B23A40" w:rsidRDefault="00DD1A0D">
            <w:pPr>
              <w:rPr>
                <w:rFonts w:ascii="仿宋" w:eastAsia="仿宋" w:hAnsi="仿宋"/>
                <w:color w:val="000000"/>
              </w:rPr>
            </w:pPr>
            <w:r>
              <w:rPr>
                <w:rFonts w:ascii="仿宋" w:eastAsia="仿宋" w:hAnsi="仿宋" w:hint="eastAsia"/>
                <w:color w:val="000000"/>
              </w:rPr>
              <w:t>症状性2～</w:t>
            </w:r>
            <w:r>
              <w:rPr>
                <w:rFonts w:ascii="仿宋" w:eastAsia="仿宋" w:hAnsi="仿宋"/>
                <w:color w:val="000000"/>
              </w:rPr>
              <w:t>3</w:t>
            </w:r>
            <w:r>
              <w:rPr>
                <w:rFonts w:ascii="仿宋" w:eastAsia="仿宋" w:hAnsi="仿宋" w:hint="eastAsia"/>
                <w:color w:val="000000"/>
              </w:rPr>
              <w:t>级甲状腺功能减退，2～</w:t>
            </w:r>
            <w:r>
              <w:rPr>
                <w:rFonts w:ascii="仿宋" w:eastAsia="仿宋" w:hAnsi="仿宋"/>
                <w:color w:val="000000"/>
              </w:rPr>
              <w:t>3</w:t>
            </w:r>
            <w:r>
              <w:rPr>
                <w:rFonts w:ascii="仿宋" w:eastAsia="仿宋" w:hAnsi="仿宋" w:hint="eastAsia"/>
                <w:color w:val="000000"/>
              </w:rPr>
              <w:t>级甲状腺功能亢进、</w:t>
            </w:r>
            <w:r>
              <w:rPr>
                <w:rFonts w:ascii="仿宋" w:eastAsia="仿宋" w:hAnsi="仿宋"/>
                <w:color w:val="000000"/>
              </w:rPr>
              <w:t>2</w:t>
            </w:r>
            <w:r>
              <w:rPr>
                <w:rFonts w:ascii="仿宋" w:eastAsia="仿宋" w:hAnsi="仿宋" w:hint="eastAsia"/>
                <w:color w:val="000000"/>
              </w:rPr>
              <w:t>～</w:t>
            </w:r>
            <w:r>
              <w:rPr>
                <w:rFonts w:ascii="仿宋" w:eastAsia="仿宋" w:hAnsi="仿宋"/>
                <w:color w:val="000000"/>
              </w:rPr>
              <w:t>3</w:t>
            </w:r>
            <w:r>
              <w:rPr>
                <w:rFonts w:ascii="仿宋" w:eastAsia="仿宋" w:hAnsi="仿宋" w:hint="eastAsia"/>
                <w:color w:val="000000"/>
              </w:rPr>
              <w:t>级垂体炎、2级肾上腺功能不全</w:t>
            </w:r>
          </w:p>
          <w:p w:rsidR="00B23A40" w:rsidRDefault="00DD1A0D">
            <w:pPr>
              <w:rPr>
                <w:rFonts w:ascii="仿宋" w:eastAsia="仿宋" w:hAnsi="仿宋"/>
                <w:color w:val="000000"/>
              </w:rPr>
            </w:pPr>
            <w:r>
              <w:rPr>
                <w:rFonts w:ascii="仿宋" w:eastAsia="仿宋" w:hAnsi="仿宋" w:hint="eastAsia"/>
                <w:color w:val="000000"/>
              </w:rPr>
              <w:t>3级高血糖症或1型糖尿病</w:t>
            </w:r>
          </w:p>
        </w:tc>
        <w:tc>
          <w:tcPr>
            <w:tcW w:w="3402" w:type="dxa"/>
          </w:tcPr>
          <w:p w:rsidR="00B23A40" w:rsidRDefault="00DD1A0D">
            <w:pPr>
              <w:rPr>
                <w:rFonts w:ascii="仿宋" w:eastAsia="仿宋" w:hAnsi="仿宋"/>
                <w:color w:val="000000"/>
              </w:rPr>
            </w:pPr>
            <w:r>
              <w:rPr>
                <w:rFonts w:ascii="仿宋" w:eastAsia="仿宋" w:hAnsi="仿宋" w:hint="eastAsia"/>
                <w:color w:val="000000"/>
              </w:rPr>
              <w:t>暂停给药，直至不良反应恢复至0～</w:t>
            </w:r>
            <w:r>
              <w:rPr>
                <w:rFonts w:ascii="仿宋" w:eastAsia="仿宋" w:hAnsi="仿宋"/>
                <w:color w:val="000000"/>
              </w:rPr>
              <w:t>1</w:t>
            </w:r>
            <w:r>
              <w:rPr>
                <w:rFonts w:ascii="仿宋" w:eastAsia="仿宋" w:hAnsi="仿宋" w:hint="eastAsia"/>
                <w:color w:val="000000"/>
              </w:rPr>
              <w:t>级</w:t>
            </w:r>
          </w:p>
        </w:tc>
      </w:tr>
      <w:tr w:rsidR="00B23A40">
        <w:tc>
          <w:tcPr>
            <w:tcW w:w="1843" w:type="dxa"/>
            <w:vMerge/>
          </w:tcPr>
          <w:p w:rsidR="00B23A40" w:rsidRDefault="00B23A40">
            <w:pPr>
              <w:rPr>
                <w:rFonts w:ascii="仿宋" w:eastAsia="仿宋" w:hAnsi="仿宋"/>
                <w:color w:val="000000"/>
              </w:rPr>
            </w:pPr>
          </w:p>
        </w:tc>
        <w:tc>
          <w:tcPr>
            <w:tcW w:w="4536" w:type="dxa"/>
          </w:tcPr>
          <w:p w:rsidR="00B23A40" w:rsidRDefault="00DD1A0D">
            <w:pPr>
              <w:rPr>
                <w:rFonts w:ascii="仿宋" w:eastAsia="仿宋" w:hAnsi="仿宋"/>
                <w:color w:val="000000"/>
              </w:rPr>
            </w:pPr>
            <w:r>
              <w:rPr>
                <w:rFonts w:ascii="仿宋" w:eastAsia="仿宋" w:hAnsi="仿宋" w:hint="eastAsia"/>
                <w:color w:val="000000"/>
              </w:rPr>
              <w:t>4级甲状腺功能减退</w:t>
            </w:r>
          </w:p>
          <w:p w:rsidR="00B23A40" w:rsidRDefault="00DD1A0D">
            <w:pPr>
              <w:rPr>
                <w:rFonts w:ascii="仿宋" w:eastAsia="仿宋" w:hAnsi="仿宋"/>
                <w:color w:val="000000"/>
              </w:rPr>
            </w:pPr>
            <w:r>
              <w:rPr>
                <w:rFonts w:ascii="仿宋" w:eastAsia="仿宋" w:hAnsi="仿宋" w:hint="eastAsia"/>
                <w:color w:val="000000"/>
              </w:rPr>
              <w:t>4级甲状腺功能亢进</w:t>
            </w:r>
          </w:p>
          <w:p w:rsidR="00B23A40" w:rsidRDefault="00DD1A0D">
            <w:pPr>
              <w:rPr>
                <w:rFonts w:ascii="仿宋" w:eastAsia="仿宋" w:hAnsi="仿宋"/>
                <w:color w:val="000000"/>
              </w:rPr>
            </w:pPr>
            <w:r>
              <w:rPr>
                <w:rFonts w:ascii="仿宋" w:eastAsia="仿宋" w:hAnsi="仿宋" w:hint="eastAsia"/>
                <w:color w:val="000000"/>
              </w:rPr>
              <w:t>4级垂体炎</w:t>
            </w:r>
          </w:p>
          <w:p w:rsidR="00B23A40" w:rsidRDefault="00DD1A0D">
            <w:pPr>
              <w:rPr>
                <w:rFonts w:ascii="仿宋" w:eastAsia="仿宋" w:hAnsi="仿宋"/>
                <w:color w:val="000000"/>
              </w:rPr>
            </w:pPr>
            <w:r>
              <w:rPr>
                <w:rFonts w:ascii="仿宋" w:eastAsia="仿宋" w:hAnsi="仿宋" w:hint="eastAsia"/>
                <w:color w:val="000000"/>
              </w:rPr>
              <w:t>3～</w:t>
            </w:r>
            <w:r>
              <w:rPr>
                <w:rFonts w:ascii="仿宋" w:eastAsia="仿宋" w:hAnsi="仿宋"/>
                <w:color w:val="000000"/>
              </w:rPr>
              <w:t>4</w:t>
            </w:r>
            <w:r>
              <w:rPr>
                <w:rFonts w:ascii="仿宋" w:eastAsia="仿宋" w:hAnsi="仿宋" w:hint="eastAsia"/>
                <w:color w:val="000000"/>
              </w:rPr>
              <w:t>级肾上腺功能不全</w:t>
            </w:r>
          </w:p>
          <w:p w:rsidR="00B23A40" w:rsidRDefault="00DD1A0D">
            <w:pPr>
              <w:rPr>
                <w:rFonts w:ascii="仿宋" w:eastAsia="仿宋" w:hAnsi="仿宋"/>
                <w:color w:val="000000"/>
              </w:rPr>
            </w:pPr>
            <w:r>
              <w:rPr>
                <w:rFonts w:ascii="仿宋" w:eastAsia="仿宋" w:hAnsi="仿宋" w:hint="eastAsia"/>
                <w:color w:val="000000"/>
              </w:rPr>
              <w:t>4级高血糖症或1型糖尿病</w:t>
            </w:r>
          </w:p>
        </w:tc>
        <w:tc>
          <w:tcPr>
            <w:tcW w:w="3402" w:type="dxa"/>
          </w:tcPr>
          <w:p w:rsidR="00B23A40" w:rsidRDefault="00DD1A0D">
            <w:pPr>
              <w:rPr>
                <w:rFonts w:ascii="仿宋" w:eastAsia="仿宋" w:hAnsi="仿宋"/>
                <w:color w:val="000000"/>
              </w:rPr>
            </w:pPr>
            <w:r>
              <w:rPr>
                <w:rFonts w:ascii="仿宋" w:eastAsia="仿宋" w:hAnsi="仿宋" w:hint="eastAsia"/>
                <w:color w:val="000000"/>
              </w:rPr>
              <w:t>永久停药</w:t>
            </w:r>
          </w:p>
        </w:tc>
      </w:tr>
      <w:tr w:rsidR="00B23A40">
        <w:tc>
          <w:tcPr>
            <w:tcW w:w="1843" w:type="dxa"/>
            <w:vMerge w:val="restart"/>
          </w:tcPr>
          <w:p w:rsidR="00B23A40" w:rsidRDefault="00DD1A0D">
            <w:pPr>
              <w:rPr>
                <w:rFonts w:ascii="仿宋" w:eastAsia="仿宋" w:hAnsi="仿宋"/>
                <w:color w:val="000000"/>
              </w:rPr>
            </w:pPr>
            <w:r>
              <w:rPr>
                <w:rFonts w:ascii="仿宋" w:eastAsia="仿宋" w:hAnsi="仿宋" w:hint="eastAsia"/>
                <w:color w:val="000000"/>
              </w:rPr>
              <w:t>皮肤不良反应</w:t>
            </w:r>
          </w:p>
        </w:tc>
        <w:tc>
          <w:tcPr>
            <w:tcW w:w="4536" w:type="dxa"/>
          </w:tcPr>
          <w:p w:rsidR="00B23A40" w:rsidRDefault="00DD1A0D">
            <w:pPr>
              <w:rPr>
                <w:rFonts w:ascii="仿宋" w:eastAsia="仿宋" w:hAnsi="仿宋"/>
                <w:color w:val="000000"/>
              </w:rPr>
            </w:pPr>
            <w:r>
              <w:rPr>
                <w:rFonts w:ascii="仿宋" w:eastAsia="仿宋" w:hAnsi="仿宋" w:hint="eastAsia"/>
                <w:color w:val="000000"/>
              </w:rPr>
              <w:t>3级</w:t>
            </w:r>
          </w:p>
        </w:tc>
        <w:tc>
          <w:tcPr>
            <w:tcW w:w="3402" w:type="dxa"/>
          </w:tcPr>
          <w:p w:rsidR="00B23A40" w:rsidRDefault="00DD1A0D">
            <w:pPr>
              <w:rPr>
                <w:rFonts w:ascii="仿宋" w:eastAsia="仿宋" w:hAnsi="仿宋"/>
                <w:color w:val="000000"/>
              </w:rPr>
            </w:pPr>
            <w:r>
              <w:rPr>
                <w:rFonts w:ascii="仿宋" w:eastAsia="仿宋" w:hAnsi="仿宋" w:hint="eastAsia"/>
                <w:color w:val="000000"/>
              </w:rPr>
              <w:t>暂停给药，直至不良反应恢复至0～</w:t>
            </w:r>
            <w:r>
              <w:rPr>
                <w:rFonts w:ascii="仿宋" w:eastAsia="仿宋" w:hAnsi="仿宋"/>
                <w:color w:val="000000"/>
              </w:rPr>
              <w:t>1</w:t>
            </w:r>
            <w:r>
              <w:rPr>
                <w:rFonts w:ascii="仿宋" w:eastAsia="仿宋" w:hAnsi="仿宋" w:hint="eastAsia"/>
                <w:color w:val="000000"/>
              </w:rPr>
              <w:t>级</w:t>
            </w:r>
          </w:p>
        </w:tc>
      </w:tr>
      <w:tr w:rsidR="00B23A40">
        <w:tc>
          <w:tcPr>
            <w:tcW w:w="1843" w:type="dxa"/>
            <w:vMerge/>
          </w:tcPr>
          <w:p w:rsidR="00B23A40" w:rsidRDefault="00B23A40">
            <w:pPr>
              <w:rPr>
                <w:rFonts w:ascii="仿宋" w:eastAsia="仿宋" w:hAnsi="仿宋"/>
                <w:color w:val="000000"/>
              </w:rPr>
            </w:pPr>
          </w:p>
        </w:tc>
        <w:tc>
          <w:tcPr>
            <w:tcW w:w="4536" w:type="dxa"/>
          </w:tcPr>
          <w:p w:rsidR="00B23A40" w:rsidRDefault="00DD1A0D">
            <w:pPr>
              <w:rPr>
                <w:rFonts w:ascii="仿宋" w:eastAsia="仿宋" w:hAnsi="仿宋"/>
                <w:color w:val="000000"/>
              </w:rPr>
            </w:pPr>
            <w:r>
              <w:rPr>
                <w:rFonts w:ascii="仿宋" w:eastAsia="仿宋" w:hAnsi="仿宋" w:hint="eastAsia"/>
                <w:color w:val="000000"/>
              </w:rPr>
              <w:t>4级，史蒂文斯-约翰逊综合征（S</w:t>
            </w:r>
            <w:r>
              <w:rPr>
                <w:rFonts w:ascii="仿宋" w:eastAsia="仿宋" w:hAnsi="仿宋"/>
                <w:color w:val="000000"/>
              </w:rPr>
              <w:t>JS</w:t>
            </w:r>
            <w:r>
              <w:rPr>
                <w:rFonts w:ascii="仿宋" w:eastAsia="仿宋" w:hAnsi="仿宋" w:hint="eastAsia"/>
                <w:color w:val="000000"/>
              </w:rPr>
              <w:t>）或中毒性表皮坏死松解症（T</w:t>
            </w:r>
            <w:r>
              <w:rPr>
                <w:rFonts w:ascii="仿宋" w:eastAsia="仿宋" w:hAnsi="仿宋"/>
                <w:color w:val="000000"/>
              </w:rPr>
              <w:t>EN</w:t>
            </w:r>
            <w:r>
              <w:rPr>
                <w:rFonts w:ascii="仿宋" w:eastAsia="仿宋" w:hAnsi="仿宋" w:hint="eastAsia"/>
                <w:color w:val="000000"/>
              </w:rPr>
              <w:t>）</w:t>
            </w:r>
          </w:p>
        </w:tc>
        <w:tc>
          <w:tcPr>
            <w:tcW w:w="3402" w:type="dxa"/>
          </w:tcPr>
          <w:p w:rsidR="00B23A40" w:rsidRDefault="00DD1A0D">
            <w:pPr>
              <w:rPr>
                <w:rFonts w:ascii="仿宋" w:eastAsia="仿宋" w:hAnsi="仿宋"/>
                <w:color w:val="000000"/>
              </w:rPr>
            </w:pPr>
            <w:r>
              <w:rPr>
                <w:rFonts w:ascii="仿宋" w:eastAsia="仿宋" w:hAnsi="仿宋" w:hint="eastAsia"/>
                <w:color w:val="000000"/>
              </w:rPr>
              <w:t>永久停药</w:t>
            </w:r>
          </w:p>
        </w:tc>
      </w:tr>
      <w:tr w:rsidR="00B23A40">
        <w:tc>
          <w:tcPr>
            <w:tcW w:w="1843" w:type="dxa"/>
            <w:vMerge w:val="restart"/>
          </w:tcPr>
          <w:p w:rsidR="00B23A40" w:rsidRDefault="00DD1A0D">
            <w:pPr>
              <w:rPr>
                <w:rFonts w:ascii="仿宋" w:eastAsia="仿宋" w:hAnsi="仿宋"/>
                <w:color w:val="000000"/>
              </w:rPr>
            </w:pPr>
            <w:r>
              <w:rPr>
                <w:rFonts w:ascii="仿宋" w:eastAsia="仿宋" w:hAnsi="仿宋" w:hint="eastAsia"/>
                <w:color w:val="000000"/>
              </w:rPr>
              <w:t>血小板减少症</w:t>
            </w:r>
          </w:p>
        </w:tc>
        <w:tc>
          <w:tcPr>
            <w:tcW w:w="4536" w:type="dxa"/>
          </w:tcPr>
          <w:p w:rsidR="00B23A40" w:rsidRDefault="00DD1A0D">
            <w:pPr>
              <w:rPr>
                <w:rFonts w:ascii="仿宋" w:eastAsia="仿宋" w:hAnsi="仿宋"/>
                <w:color w:val="000000"/>
              </w:rPr>
            </w:pPr>
            <w:r>
              <w:rPr>
                <w:rFonts w:ascii="仿宋" w:eastAsia="仿宋" w:hAnsi="仿宋" w:hint="eastAsia"/>
                <w:color w:val="000000"/>
              </w:rPr>
              <w:t>3级</w:t>
            </w:r>
          </w:p>
        </w:tc>
        <w:tc>
          <w:tcPr>
            <w:tcW w:w="3402" w:type="dxa"/>
          </w:tcPr>
          <w:p w:rsidR="00B23A40" w:rsidRDefault="00DD1A0D">
            <w:pPr>
              <w:rPr>
                <w:rFonts w:ascii="仿宋" w:eastAsia="仿宋" w:hAnsi="仿宋"/>
                <w:color w:val="000000"/>
              </w:rPr>
            </w:pPr>
            <w:r>
              <w:rPr>
                <w:rFonts w:ascii="仿宋" w:eastAsia="仿宋" w:hAnsi="仿宋" w:hint="eastAsia"/>
                <w:color w:val="000000"/>
              </w:rPr>
              <w:t>暂停给药，直至不良反应恢复至0～</w:t>
            </w:r>
            <w:r>
              <w:rPr>
                <w:rFonts w:ascii="仿宋" w:eastAsia="仿宋" w:hAnsi="仿宋"/>
                <w:color w:val="000000"/>
              </w:rPr>
              <w:t>1</w:t>
            </w:r>
            <w:r>
              <w:rPr>
                <w:rFonts w:ascii="仿宋" w:eastAsia="仿宋" w:hAnsi="仿宋" w:hint="eastAsia"/>
                <w:color w:val="000000"/>
              </w:rPr>
              <w:t>级</w:t>
            </w:r>
          </w:p>
        </w:tc>
      </w:tr>
      <w:tr w:rsidR="00B23A40">
        <w:tc>
          <w:tcPr>
            <w:tcW w:w="1843" w:type="dxa"/>
            <w:vMerge/>
          </w:tcPr>
          <w:p w:rsidR="00B23A40" w:rsidRDefault="00B23A40">
            <w:pPr>
              <w:rPr>
                <w:rFonts w:ascii="仿宋" w:eastAsia="仿宋" w:hAnsi="仿宋"/>
                <w:color w:val="000000"/>
              </w:rPr>
            </w:pPr>
          </w:p>
        </w:tc>
        <w:tc>
          <w:tcPr>
            <w:tcW w:w="4536" w:type="dxa"/>
          </w:tcPr>
          <w:p w:rsidR="00B23A40" w:rsidRDefault="00DD1A0D">
            <w:pPr>
              <w:rPr>
                <w:rFonts w:ascii="仿宋" w:eastAsia="仿宋" w:hAnsi="仿宋"/>
                <w:color w:val="000000"/>
              </w:rPr>
            </w:pPr>
            <w:r>
              <w:rPr>
                <w:rFonts w:ascii="仿宋" w:eastAsia="仿宋" w:hAnsi="仿宋" w:hint="eastAsia"/>
                <w:color w:val="000000"/>
              </w:rPr>
              <w:t>4级</w:t>
            </w:r>
          </w:p>
        </w:tc>
        <w:tc>
          <w:tcPr>
            <w:tcW w:w="3402" w:type="dxa"/>
          </w:tcPr>
          <w:p w:rsidR="00B23A40" w:rsidRDefault="00DD1A0D">
            <w:pPr>
              <w:rPr>
                <w:rFonts w:ascii="仿宋" w:eastAsia="仿宋" w:hAnsi="仿宋"/>
                <w:color w:val="000000"/>
              </w:rPr>
            </w:pPr>
            <w:r>
              <w:rPr>
                <w:rFonts w:ascii="仿宋" w:eastAsia="仿宋" w:hAnsi="仿宋" w:hint="eastAsia"/>
                <w:color w:val="000000"/>
              </w:rPr>
              <w:t>永久停药</w:t>
            </w:r>
          </w:p>
        </w:tc>
      </w:tr>
      <w:tr w:rsidR="00B23A40">
        <w:tc>
          <w:tcPr>
            <w:tcW w:w="1843" w:type="dxa"/>
            <w:vMerge w:val="restart"/>
          </w:tcPr>
          <w:p w:rsidR="00B23A40" w:rsidRDefault="00DD1A0D">
            <w:pPr>
              <w:rPr>
                <w:rFonts w:ascii="仿宋" w:eastAsia="仿宋" w:hAnsi="仿宋"/>
                <w:color w:val="000000"/>
              </w:rPr>
            </w:pPr>
            <w:r>
              <w:rPr>
                <w:rFonts w:ascii="仿宋" w:eastAsia="仿宋" w:hAnsi="仿宋" w:hint="eastAsia"/>
                <w:color w:val="000000"/>
              </w:rPr>
              <w:t>其他免疫相关性不良反应</w:t>
            </w:r>
          </w:p>
        </w:tc>
        <w:tc>
          <w:tcPr>
            <w:tcW w:w="4536" w:type="dxa"/>
          </w:tcPr>
          <w:p w:rsidR="00B23A40" w:rsidRDefault="00DD1A0D">
            <w:pPr>
              <w:rPr>
                <w:rFonts w:ascii="仿宋" w:eastAsia="仿宋" w:hAnsi="仿宋"/>
                <w:color w:val="000000"/>
              </w:rPr>
            </w:pPr>
            <w:r>
              <w:rPr>
                <w:rFonts w:ascii="仿宋" w:eastAsia="仿宋" w:hAnsi="仿宋" w:hint="eastAsia"/>
                <w:color w:val="000000"/>
              </w:rPr>
              <w:t>3～</w:t>
            </w:r>
            <w:r>
              <w:rPr>
                <w:rFonts w:ascii="仿宋" w:eastAsia="仿宋" w:hAnsi="仿宋"/>
                <w:color w:val="000000"/>
              </w:rPr>
              <w:t>4</w:t>
            </w:r>
            <w:r>
              <w:rPr>
                <w:rFonts w:ascii="仿宋" w:eastAsia="仿宋" w:hAnsi="仿宋" w:hint="eastAsia"/>
                <w:color w:val="000000"/>
              </w:rPr>
              <w:t>级血淀粉酶升高或脂肪酶升高</w:t>
            </w:r>
          </w:p>
          <w:p w:rsidR="00B23A40" w:rsidRDefault="00DD1A0D">
            <w:pPr>
              <w:rPr>
                <w:rFonts w:ascii="仿宋" w:eastAsia="仿宋" w:hAnsi="仿宋"/>
                <w:color w:val="000000"/>
              </w:rPr>
            </w:pPr>
            <w:r>
              <w:rPr>
                <w:rFonts w:ascii="仿宋" w:eastAsia="仿宋" w:hAnsi="仿宋" w:hint="eastAsia"/>
                <w:color w:val="000000"/>
              </w:rPr>
              <w:t>2～</w:t>
            </w:r>
            <w:r>
              <w:rPr>
                <w:rFonts w:ascii="仿宋" w:eastAsia="仿宋" w:hAnsi="仿宋"/>
                <w:color w:val="000000"/>
              </w:rPr>
              <w:t>3</w:t>
            </w:r>
            <w:r>
              <w:rPr>
                <w:rFonts w:ascii="仿宋" w:eastAsia="仿宋" w:hAnsi="仿宋" w:hint="eastAsia"/>
                <w:color w:val="000000"/>
              </w:rPr>
              <w:t>级胰腺炎</w:t>
            </w:r>
          </w:p>
          <w:p w:rsidR="00B23A40" w:rsidRDefault="00DD1A0D">
            <w:pPr>
              <w:rPr>
                <w:rFonts w:ascii="仿宋" w:eastAsia="仿宋" w:hAnsi="仿宋"/>
                <w:color w:val="000000"/>
              </w:rPr>
            </w:pPr>
            <w:r>
              <w:rPr>
                <w:rFonts w:ascii="仿宋" w:eastAsia="仿宋" w:hAnsi="仿宋" w:hint="eastAsia"/>
                <w:color w:val="000000"/>
              </w:rPr>
              <w:t>2级心肌炎</w:t>
            </w:r>
          </w:p>
          <w:p w:rsidR="00B23A40" w:rsidRDefault="00DD1A0D">
            <w:pPr>
              <w:rPr>
                <w:rFonts w:ascii="仿宋" w:eastAsia="仿宋" w:hAnsi="仿宋"/>
                <w:color w:val="000000"/>
              </w:rPr>
            </w:pPr>
            <w:r>
              <w:rPr>
                <w:rFonts w:ascii="仿宋" w:eastAsia="仿宋" w:hAnsi="仿宋" w:hint="eastAsia"/>
                <w:color w:val="000000"/>
              </w:rPr>
              <w:t>2～</w:t>
            </w:r>
            <w:r>
              <w:rPr>
                <w:rFonts w:ascii="仿宋" w:eastAsia="仿宋" w:hAnsi="仿宋"/>
                <w:color w:val="000000"/>
              </w:rPr>
              <w:t>3</w:t>
            </w:r>
            <w:r>
              <w:rPr>
                <w:rFonts w:ascii="仿宋" w:eastAsia="仿宋" w:hAnsi="仿宋" w:hint="eastAsia"/>
                <w:color w:val="000000"/>
              </w:rPr>
              <w:t>级首次发生的其他免疫相关性不良反应</w:t>
            </w:r>
          </w:p>
        </w:tc>
        <w:tc>
          <w:tcPr>
            <w:tcW w:w="3402" w:type="dxa"/>
          </w:tcPr>
          <w:p w:rsidR="00B23A40" w:rsidRDefault="00DD1A0D">
            <w:pPr>
              <w:rPr>
                <w:rFonts w:ascii="仿宋" w:eastAsia="仿宋" w:hAnsi="仿宋"/>
                <w:color w:val="000000"/>
              </w:rPr>
            </w:pPr>
            <w:r>
              <w:rPr>
                <w:rFonts w:ascii="仿宋" w:eastAsia="仿宋" w:hAnsi="仿宋" w:hint="eastAsia"/>
                <w:color w:val="000000"/>
              </w:rPr>
              <w:t>暂停给药，直至不良反应恢复至0～</w:t>
            </w:r>
            <w:r>
              <w:rPr>
                <w:rFonts w:ascii="仿宋" w:eastAsia="仿宋" w:hAnsi="仿宋"/>
                <w:color w:val="000000"/>
              </w:rPr>
              <w:t>1</w:t>
            </w:r>
            <w:r>
              <w:rPr>
                <w:rFonts w:ascii="仿宋" w:eastAsia="仿宋" w:hAnsi="仿宋" w:hint="eastAsia"/>
                <w:color w:val="000000"/>
              </w:rPr>
              <w:t>级</w:t>
            </w:r>
          </w:p>
        </w:tc>
      </w:tr>
      <w:tr w:rsidR="00B23A40">
        <w:tc>
          <w:tcPr>
            <w:tcW w:w="1843" w:type="dxa"/>
            <w:vMerge/>
          </w:tcPr>
          <w:p w:rsidR="00B23A40" w:rsidRDefault="00B23A40">
            <w:pPr>
              <w:rPr>
                <w:rFonts w:ascii="仿宋" w:eastAsia="仿宋" w:hAnsi="仿宋"/>
                <w:color w:val="000000"/>
              </w:rPr>
            </w:pPr>
          </w:p>
        </w:tc>
        <w:tc>
          <w:tcPr>
            <w:tcW w:w="4536" w:type="dxa"/>
          </w:tcPr>
          <w:p w:rsidR="00B23A40" w:rsidRDefault="00DD1A0D">
            <w:pPr>
              <w:rPr>
                <w:rFonts w:ascii="仿宋" w:eastAsia="仿宋" w:hAnsi="仿宋"/>
                <w:color w:val="000000"/>
              </w:rPr>
            </w:pPr>
            <w:r>
              <w:rPr>
                <w:rFonts w:ascii="仿宋" w:eastAsia="仿宋" w:hAnsi="仿宋" w:hint="eastAsia"/>
                <w:color w:val="000000"/>
              </w:rPr>
              <w:t>4级胰腺炎或任何级别的复发性胰腺炎</w:t>
            </w:r>
          </w:p>
          <w:p w:rsidR="00B23A40" w:rsidRDefault="00DD1A0D">
            <w:pPr>
              <w:rPr>
                <w:rFonts w:ascii="仿宋" w:eastAsia="仿宋" w:hAnsi="仿宋"/>
                <w:color w:val="000000"/>
              </w:rPr>
            </w:pPr>
            <w:r>
              <w:rPr>
                <w:rFonts w:ascii="仿宋" w:eastAsia="仿宋" w:hAnsi="仿宋" w:hint="eastAsia"/>
                <w:color w:val="000000"/>
              </w:rPr>
              <w:t>3～</w:t>
            </w:r>
            <w:r>
              <w:rPr>
                <w:rFonts w:ascii="仿宋" w:eastAsia="仿宋" w:hAnsi="仿宋"/>
                <w:color w:val="000000"/>
              </w:rPr>
              <w:t>4</w:t>
            </w:r>
            <w:r>
              <w:rPr>
                <w:rFonts w:ascii="仿宋" w:eastAsia="仿宋" w:hAnsi="仿宋" w:hint="eastAsia"/>
                <w:color w:val="000000"/>
              </w:rPr>
              <w:t>级心肌炎</w:t>
            </w:r>
          </w:p>
          <w:p w:rsidR="00B23A40" w:rsidRDefault="00DD1A0D">
            <w:pPr>
              <w:rPr>
                <w:rFonts w:ascii="仿宋" w:eastAsia="仿宋" w:hAnsi="仿宋"/>
                <w:color w:val="000000"/>
              </w:rPr>
            </w:pPr>
            <w:r>
              <w:rPr>
                <w:rFonts w:ascii="仿宋" w:eastAsia="仿宋" w:hAnsi="仿宋" w:hint="eastAsia"/>
                <w:color w:val="000000"/>
              </w:rPr>
              <w:t>3～</w:t>
            </w:r>
            <w:r>
              <w:rPr>
                <w:rFonts w:ascii="仿宋" w:eastAsia="仿宋" w:hAnsi="仿宋"/>
                <w:color w:val="000000"/>
              </w:rPr>
              <w:t>4</w:t>
            </w:r>
            <w:r>
              <w:rPr>
                <w:rFonts w:ascii="仿宋" w:eastAsia="仿宋" w:hAnsi="仿宋" w:hint="eastAsia"/>
                <w:color w:val="000000"/>
              </w:rPr>
              <w:t>级脑炎</w:t>
            </w:r>
          </w:p>
          <w:p w:rsidR="00B23A40" w:rsidRDefault="00DD1A0D">
            <w:pPr>
              <w:rPr>
                <w:rFonts w:ascii="仿宋" w:eastAsia="仿宋" w:hAnsi="仿宋"/>
                <w:color w:val="000000"/>
              </w:rPr>
            </w:pPr>
            <w:r>
              <w:rPr>
                <w:rFonts w:ascii="仿宋" w:eastAsia="仿宋" w:hAnsi="仿宋" w:hint="eastAsia"/>
                <w:color w:val="000000"/>
              </w:rPr>
              <w:t>4级首次发生的其他免疫相关性不良反应</w:t>
            </w:r>
          </w:p>
        </w:tc>
        <w:tc>
          <w:tcPr>
            <w:tcW w:w="3402" w:type="dxa"/>
          </w:tcPr>
          <w:p w:rsidR="00B23A40" w:rsidRDefault="00DD1A0D">
            <w:pPr>
              <w:rPr>
                <w:rFonts w:ascii="仿宋" w:eastAsia="仿宋" w:hAnsi="仿宋"/>
                <w:color w:val="000000"/>
              </w:rPr>
            </w:pPr>
            <w:r>
              <w:rPr>
                <w:rFonts w:ascii="仿宋" w:eastAsia="仿宋" w:hAnsi="仿宋" w:hint="eastAsia"/>
                <w:color w:val="000000"/>
              </w:rPr>
              <w:t>永久停药</w:t>
            </w:r>
          </w:p>
        </w:tc>
      </w:tr>
      <w:tr w:rsidR="00B23A40">
        <w:tc>
          <w:tcPr>
            <w:tcW w:w="1843" w:type="dxa"/>
          </w:tcPr>
          <w:p w:rsidR="00B23A40" w:rsidRDefault="00DD1A0D">
            <w:pPr>
              <w:rPr>
                <w:rFonts w:ascii="仿宋" w:eastAsia="仿宋" w:hAnsi="仿宋"/>
                <w:color w:val="000000"/>
              </w:rPr>
            </w:pPr>
            <w:r>
              <w:rPr>
                <w:rFonts w:ascii="仿宋" w:eastAsia="仿宋" w:hAnsi="仿宋" w:hint="eastAsia"/>
                <w:color w:val="000000"/>
              </w:rPr>
              <w:t>复发或持续的不良反应</w:t>
            </w:r>
          </w:p>
        </w:tc>
        <w:tc>
          <w:tcPr>
            <w:tcW w:w="4536" w:type="dxa"/>
          </w:tcPr>
          <w:p w:rsidR="00B23A40" w:rsidRDefault="00DD1A0D">
            <w:pPr>
              <w:rPr>
                <w:rFonts w:ascii="仿宋" w:eastAsia="仿宋" w:hAnsi="仿宋"/>
                <w:color w:val="000000"/>
              </w:rPr>
            </w:pPr>
            <w:r>
              <w:rPr>
                <w:rFonts w:ascii="仿宋" w:eastAsia="仿宋" w:hAnsi="仿宋" w:hint="eastAsia"/>
                <w:color w:val="000000"/>
              </w:rPr>
              <w:t>复发性3～</w:t>
            </w:r>
            <w:r>
              <w:rPr>
                <w:rFonts w:ascii="仿宋" w:eastAsia="仿宋" w:hAnsi="仿宋"/>
                <w:color w:val="000000"/>
              </w:rPr>
              <w:t>4</w:t>
            </w:r>
            <w:r>
              <w:rPr>
                <w:rFonts w:ascii="仿宋" w:eastAsia="仿宋" w:hAnsi="仿宋" w:hint="eastAsia"/>
                <w:color w:val="000000"/>
              </w:rPr>
              <w:t>级（除外内分泌疾病）</w:t>
            </w:r>
          </w:p>
          <w:p w:rsidR="00B23A40" w:rsidRDefault="00DD1A0D">
            <w:pPr>
              <w:rPr>
                <w:rFonts w:ascii="仿宋" w:eastAsia="仿宋" w:hAnsi="仿宋"/>
                <w:color w:val="000000"/>
              </w:rPr>
            </w:pPr>
            <w:r>
              <w:rPr>
                <w:rFonts w:ascii="仿宋" w:eastAsia="仿宋" w:hAnsi="仿宋" w:hint="eastAsia"/>
                <w:color w:val="000000"/>
              </w:rPr>
              <w:t>末次给药后1</w:t>
            </w:r>
            <w:r>
              <w:rPr>
                <w:rFonts w:ascii="仿宋" w:eastAsia="仿宋" w:hAnsi="仿宋"/>
                <w:color w:val="000000"/>
              </w:rPr>
              <w:t>2</w:t>
            </w:r>
            <w:r>
              <w:rPr>
                <w:rFonts w:ascii="仿宋" w:eastAsia="仿宋" w:hAnsi="仿宋" w:hint="eastAsia"/>
                <w:color w:val="000000"/>
              </w:rPr>
              <w:t>周内2～</w:t>
            </w:r>
            <w:r>
              <w:rPr>
                <w:rFonts w:ascii="仿宋" w:eastAsia="仿宋" w:hAnsi="仿宋"/>
                <w:color w:val="000000"/>
              </w:rPr>
              <w:t>3</w:t>
            </w:r>
            <w:r>
              <w:rPr>
                <w:rFonts w:ascii="仿宋" w:eastAsia="仿宋" w:hAnsi="仿宋" w:hint="eastAsia"/>
                <w:color w:val="000000"/>
              </w:rPr>
              <w:t>级不良反应</w:t>
            </w:r>
          </w:p>
          <w:p w:rsidR="00B23A40" w:rsidRDefault="00DD1A0D">
            <w:pPr>
              <w:rPr>
                <w:rFonts w:ascii="仿宋" w:eastAsia="仿宋" w:hAnsi="仿宋"/>
                <w:color w:val="000000"/>
              </w:rPr>
            </w:pPr>
            <w:r>
              <w:rPr>
                <w:rFonts w:ascii="仿宋" w:eastAsia="仿宋" w:hAnsi="仿宋" w:hint="eastAsia"/>
                <w:color w:val="000000"/>
              </w:rPr>
              <w:t>未改善到0～</w:t>
            </w:r>
            <w:r>
              <w:rPr>
                <w:rFonts w:ascii="仿宋" w:eastAsia="仿宋" w:hAnsi="仿宋"/>
                <w:color w:val="000000"/>
              </w:rPr>
              <w:t>1</w:t>
            </w:r>
            <w:r>
              <w:rPr>
                <w:rFonts w:ascii="仿宋" w:eastAsia="仿宋" w:hAnsi="仿宋" w:hint="eastAsia"/>
                <w:color w:val="000000"/>
              </w:rPr>
              <w:t>级（除外内分泌疾病）</w:t>
            </w:r>
          </w:p>
          <w:p w:rsidR="00B23A40" w:rsidRDefault="00DD1A0D">
            <w:pPr>
              <w:rPr>
                <w:rFonts w:ascii="仿宋" w:eastAsia="仿宋" w:hAnsi="仿宋"/>
                <w:color w:val="000000"/>
              </w:rPr>
            </w:pPr>
            <w:r>
              <w:rPr>
                <w:rFonts w:ascii="仿宋" w:eastAsia="仿宋" w:hAnsi="仿宋" w:hint="eastAsia"/>
                <w:color w:val="000000"/>
              </w:rPr>
              <w:t>末次给药后1</w:t>
            </w:r>
            <w:r>
              <w:rPr>
                <w:rFonts w:ascii="仿宋" w:eastAsia="仿宋" w:hAnsi="仿宋"/>
                <w:color w:val="000000"/>
              </w:rPr>
              <w:t>2</w:t>
            </w:r>
            <w:r>
              <w:rPr>
                <w:rFonts w:ascii="仿宋" w:eastAsia="仿宋" w:hAnsi="仿宋" w:hint="eastAsia"/>
                <w:color w:val="000000"/>
              </w:rPr>
              <w:t>周内糖皮质激素未能降至≤</w:t>
            </w:r>
            <w:r>
              <w:rPr>
                <w:rFonts w:ascii="仿宋" w:eastAsia="仿宋" w:hAnsi="仿宋"/>
                <w:color w:val="000000"/>
              </w:rPr>
              <w:t>10</w:t>
            </w:r>
            <w:r>
              <w:rPr>
                <w:rFonts w:ascii="仿宋" w:eastAsia="仿宋" w:hAnsi="仿宋" w:hint="eastAsia"/>
                <w:color w:val="000000"/>
              </w:rPr>
              <w:t>mg</w:t>
            </w:r>
            <w:r>
              <w:rPr>
                <w:rFonts w:ascii="仿宋" w:eastAsia="仿宋" w:hAnsi="仿宋"/>
                <w:color w:val="000000"/>
              </w:rPr>
              <w:t>/</w:t>
            </w:r>
            <w:r>
              <w:rPr>
                <w:rFonts w:ascii="仿宋" w:eastAsia="仿宋" w:hAnsi="仿宋" w:hint="eastAsia"/>
                <w:color w:val="000000"/>
              </w:rPr>
              <w:t>天的强的松等效剂量</w:t>
            </w:r>
          </w:p>
        </w:tc>
        <w:tc>
          <w:tcPr>
            <w:tcW w:w="3402" w:type="dxa"/>
          </w:tcPr>
          <w:p w:rsidR="00B23A40" w:rsidRDefault="00DD1A0D">
            <w:pPr>
              <w:rPr>
                <w:rFonts w:ascii="仿宋" w:eastAsia="仿宋" w:hAnsi="仿宋"/>
                <w:color w:val="000000"/>
              </w:rPr>
            </w:pPr>
            <w:r>
              <w:rPr>
                <w:rFonts w:ascii="仿宋" w:eastAsia="仿宋" w:hAnsi="仿宋" w:hint="eastAsia"/>
                <w:color w:val="000000"/>
              </w:rPr>
              <w:t>永久停药</w:t>
            </w:r>
          </w:p>
        </w:tc>
      </w:tr>
      <w:tr w:rsidR="00B23A40">
        <w:tc>
          <w:tcPr>
            <w:tcW w:w="1843" w:type="dxa"/>
            <w:vMerge w:val="restart"/>
          </w:tcPr>
          <w:p w:rsidR="00B23A40" w:rsidRDefault="00DD1A0D">
            <w:pPr>
              <w:rPr>
                <w:rFonts w:ascii="仿宋" w:eastAsia="仿宋" w:hAnsi="仿宋"/>
                <w:color w:val="000000"/>
              </w:rPr>
            </w:pPr>
            <w:r>
              <w:rPr>
                <w:rFonts w:ascii="仿宋" w:eastAsia="仿宋" w:hAnsi="仿宋" w:hint="eastAsia"/>
                <w:color w:val="000000"/>
              </w:rPr>
              <w:t>输液反应</w:t>
            </w:r>
          </w:p>
        </w:tc>
        <w:tc>
          <w:tcPr>
            <w:tcW w:w="4536" w:type="dxa"/>
          </w:tcPr>
          <w:p w:rsidR="00B23A40" w:rsidRDefault="00DD1A0D">
            <w:pPr>
              <w:rPr>
                <w:rFonts w:ascii="仿宋" w:eastAsia="仿宋" w:hAnsi="仿宋"/>
                <w:color w:val="000000"/>
              </w:rPr>
            </w:pPr>
            <w:r>
              <w:rPr>
                <w:rFonts w:ascii="仿宋" w:eastAsia="仿宋" w:hAnsi="仿宋" w:hint="eastAsia"/>
                <w:color w:val="000000"/>
              </w:rPr>
              <w:t>2级</w:t>
            </w:r>
          </w:p>
        </w:tc>
        <w:tc>
          <w:tcPr>
            <w:tcW w:w="3402" w:type="dxa"/>
          </w:tcPr>
          <w:p w:rsidR="00B23A40" w:rsidRDefault="00DD1A0D">
            <w:pPr>
              <w:rPr>
                <w:rFonts w:ascii="仿宋" w:eastAsia="仿宋" w:hAnsi="仿宋"/>
                <w:color w:val="000000"/>
              </w:rPr>
            </w:pPr>
            <w:r>
              <w:rPr>
                <w:rFonts w:ascii="仿宋" w:eastAsia="仿宋" w:hAnsi="仿宋" w:hint="eastAsia"/>
                <w:color w:val="000000"/>
              </w:rPr>
              <w:t>降低滴速或暂停给药，当症状缓解</w:t>
            </w:r>
            <w:r>
              <w:rPr>
                <w:rFonts w:ascii="仿宋" w:eastAsia="仿宋" w:hAnsi="仿宋" w:hint="eastAsia"/>
                <w:color w:val="000000"/>
              </w:rPr>
              <w:lastRenderedPageBreak/>
              <w:t>后可考虑恢复用药并密切观察</w:t>
            </w:r>
          </w:p>
        </w:tc>
      </w:tr>
      <w:tr w:rsidR="00B23A40">
        <w:tc>
          <w:tcPr>
            <w:tcW w:w="1843" w:type="dxa"/>
            <w:vMerge/>
          </w:tcPr>
          <w:p w:rsidR="00B23A40" w:rsidRDefault="00B23A40">
            <w:pPr>
              <w:rPr>
                <w:rFonts w:ascii="仿宋" w:eastAsia="仿宋" w:hAnsi="仿宋"/>
                <w:color w:val="000000"/>
              </w:rPr>
            </w:pPr>
          </w:p>
        </w:tc>
        <w:tc>
          <w:tcPr>
            <w:tcW w:w="4536" w:type="dxa"/>
          </w:tcPr>
          <w:p w:rsidR="00B23A40" w:rsidRDefault="00DD1A0D">
            <w:pPr>
              <w:rPr>
                <w:rFonts w:ascii="仿宋" w:eastAsia="仿宋" w:hAnsi="仿宋"/>
                <w:color w:val="000000"/>
              </w:rPr>
            </w:pPr>
            <w:r>
              <w:rPr>
                <w:rFonts w:ascii="仿宋" w:eastAsia="仿宋" w:hAnsi="仿宋" w:hint="eastAsia"/>
                <w:color w:val="000000"/>
              </w:rPr>
              <w:t>3～</w:t>
            </w:r>
            <w:r>
              <w:rPr>
                <w:rFonts w:ascii="仿宋" w:eastAsia="仿宋" w:hAnsi="仿宋"/>
                <w:color w:val="000000"/>
              </w:rPr>
              <w:t>4</w:t>
            </w:r>
            <w:r>
              <w:rPr>
                <w:rFonts w:ascii="仿宋" w:eastAsia="仿宋" w:hAnsi="仿宋" w:hint="eastAsia"/>
                <w:color w:val="000000"/>
              </w:rPr>
              <w:t>级</w:t>
            </w:r>
          </w:p>
        </w:tc>
        <w:tc>
          <w:tcPr>
            <w:tcW w:w="3402" w:type="dxa"/>
          </w:tcPr>
          <w:p w:rsidR="00B23A40" w:rsidRDefault="00DD1A0D">
            <w:pPr>
              <w:rPr>
                <w:rFonts w:ascii="仿宋" w:eastAsia="仿宋" w:hAnsi="仿宋"/>
                <w:color w:val="000000"/>
              </w:rPr>
            </w:pPr>
            <w:r>
              <w:rPr>
                <w:rFonts w:ascii="仿宋" w:eastAsia="仿宋" w:hAnsi="仿宋" w:hint="eastAsia"/>
                <w:color w:val="000000"/>
              </w:rPr>
              <w:t>永久停药</w:t>
            </w:r>
          </w:p>
        </w:tc>
      </w:tr>
    </w:tbl>
    <w:p w:rsidR="00B23A40" w:rsidRDefault="00DD1A0D">
      <w:pPr>
        <w:pStyle w:val="af0"/>
        <w:spacing w:line="360" w:lineRule="auto"/>
        <w:ind w:left="480" w:firstLineChars="0" w:firstLine="0"/>
        <w:rPr>
          <w:rFonts w:ascii="仿宋" w:eastAsia="仿宋" w:hAnsi="仿宋" w:cs="Times New Roman"/>
          <w:color w:val="000000"/>
          <w:sz w:val="32"/>
          <w:szCs w:val="32"/>
        </w:rPr>
      </w:pPr>
      <w:r>
        <w:rPr>
          <w:rFonts w:ascii="仿宋" w:eastAsia="仿宋" w:hAnsi="仿宋" w:cs="Times New Roman"/>
          <w:color w:val="000000"/>
          <w:sz w:val="32"/>
          <w:szCs w:val="32"/>
          <w:vertAlign w:val="superscript"/>
        </w:rPr>
        <w:t>*</w:t>
      </w:r>
      <w:r>
        <w:rPr>
          <w:rFonts w:ascii="仿宋" w:eastAsia="仿宋" w:hAnsi="仿宋" w:cs="Times New Roman"/>
          <w:color w:val="000000"/>
          <w:sz w:val="18"/>
          <w:szCs w:val="18"/>
        </w:rPr>
        <w:t>反应性毛细血管增生症分级依据《卡瑞利珠单抗引起的反应性毛细血管增生症诊治专家共识》初稿。</w:t>
      </w:r>
    </w:p>
    <w:p w:rsidR="00B23A40" w:rsidRDefault="00DD1A0D">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6.目前本品尚无针对中重度肝功能不全患者的研究数据，中度或重度肝功能不全患者不推荐使用。轻度肝功能不全患者应在医生指导下慎用本品，如需使用，无需进行剂量调整。</w:t>
      </w:r>
    </w:p>
    <w:p w:rsidR="00B23A40" w:rsidRDefault="00DD1A0D">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7.目前本品尚无针对中重度肾功能不全患者的研究数据，中度或重度肾功能不全患者不推荐使用。轻度肾功能不全患者应在医生指导下慎用本品，如需使用，无需进行剂量调整。</w:t>
      </w:r>
    </w:p>
    <w:p w:rsidR="00B23A40" w:rsidRDefault="00DD1A0D">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8.接受本药治疗的HL患者最常见的不良反应（≥10%）包括皮肤反应性毛细血管增生症、发热、甲状腺功能减退、上呼吸道感染、贫血、输液相关反应、咳嗽、口腔反应性毛细血管增生症、鼻咽炎、瘙痒症。最常见的3级以上的不良反应（≥2%）包括淋巴细胞计数降低、白细胞计数降低、中性粒细胞计数降低、γ-谷氨酰转移酶升高、带状疱疹、肺部炎症。</w:t>
      </w:r>
    </w:p>
    <w:p w:rsidR="00B23A40" w:rsidRDefault="00DD1A0D">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9.本品尚无在18岁以下儿童及青少年中的安全性和有效性数据。</w:t>
      </w:r>
    </w:p>
    <w:p w:rsidR="00B23A40" w:rsidRDefault="00DD1A0D">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10.本品在＞65岁的老年患者中应用数据有限，建议在医生的指导下慎用，如需使用，无需进行剂量调整。</w:t>
      </w:r>
    </w:p>
    <w:p w:rsidR="00B23A40" w:rsidRDefault="00DD1A0D">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11.不建议在妊娠期间使用本品治疗。</w:t>
      </w:r>
    </w:p>
    <w:p w:rsidR="00B23A40" w:rsidRDefault="00DD1A0D">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12.因可能干扰本品药效学活性，应避免在开始本品治疗前使用全身性糖皮质激素及其他免疫抑制剂。但是如果为了治疗免疫相关性不良反应，可在开始本品治疗后使用全身糖皮质激素及其他免疫抑制剂。</w:t>
      </w:r>
    </w:p>
    <w:p w:rsidR="00B23A40" w:rsidRDefault="00DD1A0D">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13.反应性毛细血管增生症的处理：在接受本品治疗的患者中，共731例（74.1%）发生反应性毛细血管增生症。反应性毛细血管增生症，大多发生在体表皮肤，少数可见于口腔黏膜、鼻腔黏膜以及眼睑结膜。发生于皮肤的反应性毛细血管增生，初始多表现为体表鲜红色点状物，直径≤2mm，随着用药次数增加，病变范围可逐渐增大，多为结节状，也有斑片状，颜色鲜红或暗红，需观察临床症状和体征，可按照以下详见表5分级标准和治疗建议进行处理：</w:t>
      </w:r>
    </w:p>
    <w:p w:rsidR="00B23A40" w:rsidRDefault="00DD1A0D">
      <w:pPr>
        <w:spacing w:line="360" w:lineRule="auto"/>
        <w:ind w:firstLineChars="200" w:firstLine="422"/>
        <w:jc w:val="center"/>
        <w:rPr>
          <w:rFonts w:ascii="仿宋" w:eastAsia="仿宋" w:hAnsi="仿宋"/>
          <w:b/>
          <w:color w:val="000000"/>
        </w:rPr>
      </w:pPr>
      <w:r>
        <w:rPr>
          <w:rFonts w:ascii="仿宋" w:eastAsia="仿宋" w:hAnsi="仿宋" w:hint="eastAsia"/>
          <w:b/>
          <w:color w:val="000000"/>
        </w:rPr>
        <w:t>表5 反应性毛细血管增生症分级标准和治疗建议</w:t>
      </w:r>
    </w:p>
    <w:tbl>
      <w:tblPr>
        <w:tblW w:w="8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20"/>
        <w:gridCol w:w="2521"/>
        <w:gridCol w:w="4081"/>
      </w:tblGrid>
      <w:tr w:rsidR="00B23A40">
        <w:tc>
          <w:tcPr>
            <w:tcW w:w="1920" w:type="dxa"/>
            <w:tcBorders>
              <w:top w:val="single" w:sz="4" w:space="0" w:color="auto"/>
              <w:left w:val="single" w:sz="4" w:space="0" w:color="auto"/>
              <w:bottom w:val="single" w:sz="4" w:space="0" w:color="auto"/>
              <w:right w:val="single" w:sz="4" w:space="0" w:color="auto"/>
            </w:tcBorders>
            <w:vAlign w:val="center"/>
          </w:tcPr>
          <w:p w:rsidR="00B23A40" w:rsidRDefault="00DD1A0D">
            <w:pPr>
              <w:rPr>
                <w:rFonts w:ascii="仿宋" w:eastAsia="仿宋" w:hAnsi="仿宋"/>
                <w:b/>
                <w:color w:val="000000"/>
              </w:rPr>
            </w:pPr>
            <w:r>
              <w:rPr>
                <w:rFonts w:ascii="仿宋" w:eastAsia="仿宋" w:hAnsi="仿宋"/>
                <w:b/>
                <w:color w:val="000000"/>
              </w:rPr>
              <w:t xml:space="preserve">分级 </w:t>
            </w:r>
          </w:p>
        </w:tc>
        <w:tc>
          <w:tcPr>
            <w:tcW w:w="2521" w:type="dxa"/>
            <w:tcBorders>
              <w:top w:val="single" w:sz="4" w:space="0" w:color="auto"/>
              <w:left w:val="single" w:sz="4" w:space="0" w:color="auto"/>
              <w:bottom w:val="single" w:sz="4" w:space="0" w:color="auto"/>
              <w:right w:val="single" w:sz="4" w:space="0" w:color="auto"/>
            </w:tcBorders>
            <w:vAlign w:val="center"/>
          </w:tcPr>
          <w:p w:rsidR="00B23A40" w:rsidRDefault="00DD1A0D">
            <w:pPr>
              <w:rPr>
                <w:rFonts w:ascii="仿宋" w:eastAsia="仿宋" w:hAnsi="仿宋"/>
                <w:b/>
                <w:color w:val="000000"/>
              </w:rPr>
            </w:pPr>
            <w:r>
              <w:rPr>
                <w:rFonts w:ascii="仿宋" w:eastAsia="仿宋" w:hAnsi="仿宋"/>
                <w:b/>
                <w:color w:val="000000"/>
              </w:rPr>
              <w:t xml:space="preserve">临床表现 </w:t>
            </w:r>
          </w:p>
        </w:tc>
        <w:tc>
          <w:tcPr>
            <w:tcW w:w="4081" w:type="dxa"/>
            <w:tcBorders>
              <w:top w:val="single" w:sz="4" w:space="0" w:color="auto"/>
              <w:left w:val="single" w:sz="4" w:space="0" w:color="auto"/>
              <w:bottom w:val="single" w:sz="4" w:space="0" w:color="auto"/>
              <w:right w:val="single" w:sz="4" w:space="0" w:color="auto"/>
            </w:tcBorders>
            <w:vAlign w:val="center"/>
          </w:tcPr>
          <w:p w:rsidR="00B23A40" w:rsidRDefault="00DD1A0D">
            <w:pPr>
              <w:rPr>
                <w:rFonts w:ascii="仿宋" w:eastAsia="仿宋" w:hAnsi="仿宋"/>
                <w:b/>
                <w:color w:val="000000"/>
              </w:rPr>
            </w:pPr>
            <w:r>
              <w:rPr>
                <w:rFonts w:ascii="仿宋" w:eastAsia="仿宋" w:hAnsi="仿宋"/>
                <w:b/>
                <w:color w:val="000000"/>
              </w:rPr>
              <w:t>治疗建议</w:t>
            </w:r>
          </w:p>
        </w:tc>
      </w:tr>
      <w:tr w:rsidR="00B23A40">
        <w:tc>
          <w:tcPr>
            <w:tcW w:w="1920" w:type="dxa"/>
            <w:tcBorders>
              <w:top w:val="single" w:sz="4" w:space="0" w:color="auto"/>
              <w:left w:val="single" w:sz="4" w:space="0" w:color="auto"/>
              <w:bottom w:val="single" w:sz="4" w:space="0" w:color="auto"/>
              <w:right w:val="single" w:sz="4" w:space="0" w:color="auto"/>
            </w:tcBorders>
            <w:vAlign w:val="center"/>
          </w:tcPr>
          <w:p w:rsidR="00B23A40" w:rsidRDefault="00DD1A0D">
            <w:pPr>
              <w:rPr>
                <w:rFonts w:ascii="仿宋" w:eastAsia="仿宋" w:hAnsi="仿宋"/>
                <w:color w:val="000000"/>
              </w:rPr>
            </w:pPr>
            <w:r>
              <w:rPr>
                <w:rFonts w:ascii="仿宋" w:eastAsia="仿宋" w:hAnsi="仿宋"/>
                <w:color w:val="000000"/>
              </w:rPr>
              <w:t xml:space="preserve">1级 </w:t>
            </w:r>
          </w:p>
        </w:tc>
        <w:tc>
          <w:tcPr>
            <w:tcW w:w="2521" w:type="dxa"/>
            <w:tcBorders>
              <w:top w:val="single" w:sz="4" w:space="0" w:color="auto"/>
              <w:left w:val="single" w:sz="4" w:space="0" w:color="auto"/>
              <w:bottom w:val="single" w:sz="4" w:space="0" w:color="auto"/>
              <w:right w:val="single" w:sz="4" w:space="0" w:color="auto"/>
            </w:tcBorders>
            <w:vAlign w:val="center"/>
          </w:tcPr>
          <w:p w:rsidR="00B23A40" w:rsidRDefault="00DD1A0D">
            <w:pPr>
              <w:rPr>
                <w:rFonts w:ascii="仿宋" w:eastAsia="仿宋" w:hAnsi="仿宋"/>
                <w:color w:val="000000"/>
              </w:rPr>
            </w:pPr>
            <w:r>
              <w:rPr>
                <w:rFonts w:ascii="仿宋" w:eastAsia="仿宋" w:hAnsi="仿宋"/>
                <w:color w:val="000000"/>
              </w:rPr>
              <w:t>单个最大直径≤10mm，伴或不伴破溃出血</w:t>
            </w:r>
          </w:p>
        </w:tc>
        <w:tc>
          <w:tcPr>
            <w:tcW w:w="4081" w:type="dxa"/>
            <w:tcBorders>
              <w:top w:val="single" w:sz="4" w:space="0" w:color="auto"/>
              <w:left w:val="single" w:sz="4" w:space="0" w:color="auto"/>
              <w:bottom w:val="single" w:sz="4" w:space="0" w:color="auto"/>
              <w:right w:val="single" w:sz="4" w:space="0" w:color="auto"/>
            </w:tcBorders>
            <w:vAlign w:val="center"/>
          </w:tcPr>
          <w:p w:rsidR="00B23A40" w:rsidRDefault="00DD1A0D">
            <w:pPr>
              <w:rPr>
                <w:rFonts w:ascii="仿宋" w:eastAsia="仿宋" w:hAnsi="仿宋"/>
                <w:color w:val="000000"/>
              </w:rPr>
            </w:pPr>
            <w:r>
              <w:rPr>
                <w:rFonts w:ascii="仿宋" w:eastAsia="仿宋" w:hAnsi="仿宋"/>
                <w:color w:val="000000"/>
              </w:rPr>
              <w:t>继续用药，易摩擦部位可用纱布保护，避免出血。破溃出血者可采用局部压迫止血治疗</w:t>
            </w:r>
          </w:p>
        </w:tc>
      </w:tr>
      <w:tr w:rsidR="00B23A40">
        <w:tc>
          <w:tcPr>
            <w:tcW w:w="1920" w:type="dxa"/>
            <w:tcBorders>
              <w:top w:val="single" w:sz="4" w:space="0" w:color="auto"/>
              <w:left w:val="single" w:sz="4" w:space="0" w:color="auto"/>
              <w:bottom w:val="single" w:sz="4" w:space="0" w:color="auto"/>
              <w:right w:val="single" w:sz="4" w:space="0" w:color="auto"/>
            </w:tcBorders>
            <w:vAlign w:val="center"/>
          </w:tcPr>
          <w:p w:rsidR="00B23A40" w:rsidRDefault="00DD1A0D">
            <w:pPr>
              <w:rPr>
                <w:rFonts w:ascii="仿宋" w:eastAsia="仿宋" w:hAnsi="仿宋"/>
                <w:color w:val="000000"/>
              </w:rPr>
            </w:pPr>
            <w:r>
              <w:rPr>
                <w:rFonts w:ascii="仿宋" w:eastAsia="仿宋" w:hAnsi="仿宋"/>
                <w:color w:val="000000"/>
              </w:rPr>
              <w:t xml:space="preserve">2级 </w:t>
            </w:r>
          </w:p>
        </w:tc>
        <w:tc>
          <w:tcPr>
            <w:tcW w:w="2521" w:type="dxa"/>
            <w:tcBorders>
              <w:top w:val="single" w:sz="4" w:space="0" w:color="auto"/>
              <w:left w:val="single" w:sz="4" w:space="0" w:color="auto"/>
              <w:bottom w:val="single" w:sz="4" w:space="0" w:color="auto"/>
              <w:right w:val="single" w:sz="4" w:space="0" w:color="auto"/>
            </w:tcBorders>
            <w:vAlign w:val="center"/>
          </w:tcPr>
          <w:p w:rsidR="00B23A40" w:rsidRDefault="00DD1A0D">
            <w:pPr>
              <w:rPr>
                <w:rFonts w:ascii="仿宋" w:eastAsia="仿宋" w:hAnsi="仿宋"/>
                <w:color w:val="000000"/>
              </w:rPr>
            </w:pPr>
            <w:r>
              <w:rPr>
                <w:rFonts w:ascii="仿宋" w:eastAsia="仿宋" w:hAnsi="仿宋"/>
                <w:color w:val="000000"/>
              </w:rPr>
              <w:t>单个最大直径＞10mm，伴或不伴破溃出血</w:t>
            </w:r>
          </w:p>
        </w:tc>
        <w:tc>
          <w:tcPr>
            <w:tcW w:w="4081" w:type="dxa"/>
            <w:tcBorders>
              <w:top w:val="single" w:sz="4" w:space="0" w:color="auto"/>
              <w:left w:val="single" w:sz="4" w:space="0" w:color="auto"/>
              <w:bottom w:val="single" w:sz="4" w:space="0" w:color="auto"/>
              <w:right w:val="single" w:sz="4" w:space="0" w:color="auto"/>
            </w:tcBorders>
            <w:vAlign w:val="center"/>
          </w:tcPr>
          <w:p w:rsidR="00B23A40" w:rsidRDefault="00DD1A0D">
            <w:pPr>
              <w:rPr>
                <w:rFonts w:ascii="仿宋" w:eastAsia="仿宋" w:hAnsi="仿宋"/>
                <w:color w:val="000000"/>
              </w:rPr>
            </w:pPr>
            <w:r>
              <w:rPr>
                <w:rFonts w:ascii="仿宋" w:eastAsia="仿宋" w:hAnsi="仿宋"/>
                <w:color w:val="000000"/>
              </w:rPr>
              <w:t>继续用药，易摩擦部位可用纱布保护，避免出血。破溃出血者可局部压迫止血，或采取局部治疗措施，如激光或手术切除等。避免破溃处感染</w:t>
            </w:r>
          </w:p>
        </w:tc>
      </w:tr>
      <w:tr w:rsidR="00B23A40">
        <w:tc>
          <w:tcPr>
            <w:tcW w:w="1920" w:type="dxa"/>
            <w:tcBorders>
              <w:top w:val="single" w:sz="4" w:space="0" w:color="auto"/>
              <w:left w:val="single" w:sz="4" w:space="0" w:color="auto"/>
              <w:bottom w:val="single" w:sz="4" w:space="0" w:color="auto"/>
              <w:right w:val="single" w:sz="4" w:space="0" w:color="auto"/>
            </w:tcBorders>
            <w:vAlign w:val="center"/>
          </w:tcPr>
          <w:p w:rsidR="00B23A40" w:rsidRDefault="00DD1A0D">
            <w:pPr>
              <w:rPr>
                <w:rFonts w:ascii="仿宋" w:eastAsia="仿宋" w:hAnsi="仿宋"/>
                <w:color w:val="000000"/>
              </w:rPr>
            </w:pPr>
            <w:r>
              <w:rPr>
                <w:rFonts w:ascii="仿宋" w:eastAsia="仿宋" w:hAnsi="仿宋"/>
                <w:color w:val="000000"/>
              </w:rPr>
              <w:t xml:space="preserve">3级 </w:t>
            </w:r>
          </w:p>
        </w:tc>
        <w:tc>
          <w:tcPr>
            <w:tcW w:w="2521" w:type="dxa"/>
            <w:tcBorders>
              <w:top w:val="single" w:sz="4" w:space="0" w:color="auto"/>
              <w:left w:val="single" w:sz="4" w:space="0" w:color="auto"/>
              <w:bottom w:val="single" w:sz="4" w:space="0" w:color="auto"/>
              <w:right w:val="single" w:sz="4" w:space="0" w:color="auto"/>
            </w:tcBorders>
            <w:vAlign w:val="center"/>
          </w:tcPr>
          <w:p w:rsidR="00B23A40" w:rsidRDefault="00DD1A0D">
            <w:pPr>
              <w:rPr>
                <w:rFonts w:ascii="仿宋" w:eastAsia="仿宋" w:hAnsi="仿宋"/>
                <w:color w:val="000000"/>
              </w:rPr>
            </w:pPr>
            <w:r>
              <w:rPr>
                <w:rFonts w:ascii="仿宋" w:eastAsia="仿宋" w:hAnsi="仿宋"/>
                <w:color w:val="000000"/>
              </w:rPr>
              <w:t>呈泛发性，可以并发皮肤感染，可能需要住院治疗</w:t>
            </w:r>
          </w:p>
        </w:tc>
        <w:tc>
          <w:tcPr>
            <w:tcW w:w="4081" w:type="dxa"/>
            <w:tcBorders>
              <w:top w:val="single" w:sz="4" w:space="0" w:color="auto"/>
              <w:left w:val="single" w:sz="4" w:space="0" w:color="auto"/>
              <w:bottom w:val="single" w:sz="4" w:space="0" w:color="auto"/>
              <w:right w:val="single" w:sz="4" w:space="0" w:color="auto"/>
            </w:tcBorders>
            <w:vAlign w:val="center"/>
          </w:tcPr>
          <w:p w:rsidR="00B23A40" w:rsidRDefault="00DD1A0D">
            <w:pPr>
              <w:rPr>
                <w:rFonts w:ascii="仿宋" w:eastAsia="仿宋" w:hAnsi="仿宋"/>
                <w:color w:val="000000"/>
              </w:rPr>
            </w:pPr>
            <w:r>
              <w:rPr>
                <w:rFonts w:ascii="仿宋" w:eastAsia="仿宋" w:hAnsi="仿宋"/>
                <w:color w:val="000000"/>
              </w:rPr>
              <w:t>暂停用药，待恢复至≤1级后恢复给药，易摩擦部位可用纱布保护，避免出血。破溃出血者可局部压迫止血，或采取局部治疗措施如激光或手术切除等，并发感染者给予抗感染治疗</w:t>
            </w:r>
          </w:p>
        </w:tc>
      </w:tr>
      <w:tr w:rsidR="00B23A40">
        <w:tc>
          <w:tcPr>
            <w:tcW w:w="1920" w:type="dxa"/>
            <w:tcBorders>
              <w:top w:val="single" w:sz="4" w:space="0" w:color="auto"/>
              <w:left w:val="single" w:sz="4" w:space="0" w:color="auto"/>
              <w:bottom w:val="single" w:sz="4" w:space="0" w:color="auto"/>
              <w:right w:val="single" w:sz="4" w:space="0" w:color="auto"/>
            </w:tcBorders>
            <w:vAlign w:val="center"/>
          </w:tcPr>
          <w:p w:rsidR="00B23A40" w:rsidRDefault="00DD1A0D">
            <w:pPr>
              <w:rPr>
                <w:rFonts w:ascii="仿宋" w:eastAsia="仿宋" w:hAnsi="仿宋"/>
                <w:color w:val="000000"/>
              </w:rPr>
            </w:pPr>
            <w:r>
              <w:rPr>
                <w:rFonts w:ascii="仿宋" w:eastAsia="仿宋" w:hAnsi="仿宋"/>
                <w:color w:val="000000"/>
              </w:rPr>
              <w:t xml:space="preserve">4级 </w:t>
            </w:r>
          </w:p>
        </w:tc>
        <w:tc>
          <w:tcPr>
            <w:tcW w:w="2521" w:type="dxa"/>
            <w:tcBorders>
              <w:top w:val="single" w:sz="4" w:space="0" w:color="auto"/>
              <w:left w:val="single" w:sz="4" w:space="0" w:color="auto"/>
              <w:bottom w:val="single" w:sz="4" w:space="0" w:color="auto"/>
              <w:right w:val="single" w:sz="4" w:space="0" w:color="auto"/>
            </w:tcBorders>
            <w:vAlign w:val="center"/>
          </w:tcPr>
          <w:p w:rsidR="00B23A40" w:rsidRDefault="00DD1A0D">
            <w:pPr>
              <w:rPr>
                <w:rFonts w:ascii="仿宋" w:eastAsia="仿宋" w:hAnsi="仿宋"/>
                <w:color w:val="000000"/>
              </w:rPr>
            </w:pPr>
            <w:r>
              <w:rPr>
                <w:rFonts w:ascii="仿宋" w:eastAsia="仿宋" w:hAnsi="仿宋"/>
                <w:color w:val="000000"/>
              </w:rPr>
              <w:t xml:space="preserve">多发和泛发，威胁生命 </w:t>
            </w:r>
          </w:p>
        </w:tc>
        <w:tc>
          <w:tcPr>
            <w:tcW w:w="4081" w:type="dxa"/>
            <w:tcBorders>
              <w:top w:val="single" w:sz="4" w:space="0" w:color="auto"/>
              <w:left w:val="single" w:sz="4" w:space="0" w:color="auto"/>
              <w:bottom w:val="single" w:sz="4" w:space="0" w:color="auto"/>
              <w:right w:val="single" w:sz="4" w:space="0" w:color="auto"/>
            </w:tcBorders>
            <w:vAlign w:val="center"/>
          </w:tcPr>
          <w:p w:rsidR="00B23A40" w:rsidRDefault="00DD1A0D">
            <w:pPr>
              <w:rPr>
                <w:rFonts w:ascii="仿宋" w:eastAsia="仿宋" w:hAnsi="仿宋"/>
                <w:color w:val="000000"/>
              </w:rPr>
            </w:pPr>
            <w:r>
              <w:rPr>
                <w:rFonts w:ascii="仿宋" w:eastAsia="仿宋" w:hAnsi="仿宋"/>
                <w:color w:val="000000"/>
              </w:rPr>
              <w:t>永久停药</w:t>
            </w:r>
          </w:p>
        </w:tc>
      </w:tr>
      <w:tr w:rsidR="00B23A40">
        <w:tc>
          <w:tcPr>
            <w:tcW w:w="1920" w:type="dxa"/>
            <w:tcBorders>
              <w:top w:val="single" w:sz="4" w:space="0" w:color="auto"/>
              <w:left w:val="single" w:sz="4" w:space="0" w:color="auto"/>
              <w:bottom w:val="single" w:sz="4" w:space="0" w:color="auto"/>
              <w:right w:val="single" w:sz="4" w:space="0" w:color="auto"/>
            </w:tcBorders>
            <w:vAlign w:val="center"/>
          </w:tcPr>
          <w:p w:rsidR="00B23A40" w:rsidRDefault="00DD1A0D">
            <w:pPr>
              <w:rPr>
                <w:rFonts w:ascii="仿宋" w:eastAsia="仿宋" w:hAnsi="仿宋"/>
                <w:color w:val="000000"/>
              </w:rPr>
            </w:pPr>
            <w:r>
              <w:rPr>
                <w:rFonts w:ascii="仿宋" w:eastAsia="仿宋" w:hAnsi="仿宋"/>
                <w:color w:val="000000"/>
              </w:rPr>
              <w:t xml:space="preserve">5级 </w:t>
            </w:r>
          </w:p>
        </w:tc>
        <w:tc>
          <w:tcPr>
            <w:tcW w:w="2521" w:type="dxa"/>
            <w:tcBorders>
              <w:top w:val="single" w:sz="4" w:space="0" w:color="auto"/>
              <w:left w:val="single" w:sz="4" w:space="0" w:color="auto"/>
              <w:bottom w:val="single" w:sz="4" w:space="0" w:color="auto"/>
              <w:right w:val="single" w:sz="4" w:space="0" w:color="auto"/>
            </w:tcBorders>
            <w:vAlign w:val="center"/>
          </w:tcPr>
          <w:p w:rsidR="00B23A40" w:rsidRDefault="00DD1A0D">
            <w:pPr>
              <w:rPr>
                <w:rFonts w:ascii="仿宋" w:eastAsia="仿宋" w:hAnsi="仿宋"/>
                <w:color w:val="000000"/>
              </w:rPr>
            </w:pPr>
            <w:r>
              <w:rPr>
                <w:rFonts w:ascii="仿宋" w:eastAsia="仿宋" w:hAnsi="仿宋"/>
                <w:color w:val="000000"/>
              </w:rPr>
              <w:t>死亡</w:t>
            </w:r>
          </w:p>
        </w:tc>
        <w:tc>
          <w:tcPr>
            <w:tcW w:w="4081" w:type="dxa"/>
            <w:vAlign w:val="center"/>
          </w:tcPr>
          <w:p w:rsidR="00B23A40" w:rsidRDefault="00B23A40">
            <w:pPr>
              <w:rPr>
                <w:rFonts w:ascii="仿宋" w:eastAsia="仿宋" w:hAnsi="仿宋"/>
                <w:color w:val="000000"/>
              </w:rPr>
            </w:pPr>
          </w:p>
        </w:tc>
      </w:tr>
    </w:tbl>
    <w:p w:rsidR="00B23A40" w:rsidRDefault="00DD1A0D">
      <w:pPr>
        <w:spacing w:line="360" w:lineRule="auto"/>
        <w:ind w:firstLineChars="200" w:firstLine="640"/>
        <w:rPr>
          <w:rFonts w:ascii="仿宋" w:eastAsia="仿宋" w:hAnsi="仿宋" w:cs="仿宋"/>
          <w:sz w:val="32"/>
          <w:szCs w:val="32"/>
        </w:rPr>
      </w:pPr>
      <w:r>
        <w:rPr>
          <w:rFonts w:ascii="仿宋" w:eastAsia="仿宋" w:hAnsi="仿宋" w:cs="仿宋"/>
          <w:sz w:val="32"/>
          <w:szCs w:val="32"/>
        </w:rPr>
        <w:t>当患者出现该不良反应时，应避免抓挠或摩擦，易摩擦部位可用纱布保护以避免出血，同时应联系主管医生，获得</w:t>
      </w:r>
      <w:r>
        <w:rPr>
          <w:rFonts w:ascii="仿宋" w:eastAsia="仿宋" w:hAnsi="仿宋" w:cs="仿宋"/>
          <w:sz w:val="32"/>
          <w:szCs w:val="32"/>
        </w:rPr>
        <w:lastRenderedPageBreak/>
        <w:t>恰当的处理建议。破溃出血者可采用局部压迫止血，或采取如激光或手术切除等局部治疗；并发感染者应给予抗感染治疗。反应性毛细血管增生症可能在皮肤以外的其他组织发生（包括内脏器官），必要时进行相应的医学检查，如大便潜血、内窥镜及影像学检查（具体相关内容详见《反应性毛细血管增生症信息收集及风险管理计划》）。</w:t>
      </w:r>
    </w:p>
    <w:p w:rsidR="00B23A40" w:rsidRDefault="00DD1A0D">
      <w:pPr>
        <w:spacing w:line="360" w:lineRule="auto"/>
        <w:ind w:firstLineChars="200" w:firstLine="640"/>
        <w:rPr>
          <w:rFonts w:ascii="黑体" w:eastAsia="黑体" w:hAnsi="黑体" w:cs="Times New Roman"/>
          <w:sz w:val="32"/>
          <w:szCs w:val="32"/>
          <w:lang w:val="fr-FR"/>
        </w:rPr>
      </w:pPr>
      <w:r>
        <w:rPr>
          <w:rFonts w:ascii="黑体" w:eastAsia="黑体" w:hAnsi="黑体" w:cs="黑体" w:hint="eastAsia"/>
          <w:sz w:val="32"/>
          <w:szCs w:val="32"/>
        </w:rPr>
        <w:t xml:space="preserve">十、来那度胺 </w:t>
      </w:r>
      <w:r>
        <w:rPr>
          <w:rFonts w:ascii="黑体" w:eastAsia="黑体" w:hAnsi="黑体" w:cs="黑体"/>
          <w:sz w:val="32"/>
          <w:szCs w:val="32"/>
        </w:rPr>
        <w:t>lenalidomide</w:t>
      </w:r>
    </w:p>
    <w:p w:rsidR="00B23A40" w:rsidRDefault="00DD1A0D">
      <w:pPr>
        <w:spacing w:line="360" w:lineRule="auto"/>
        <w:ind w:firstLineChars="200" w:firstLine="643"/>
        <w:rPr>
          <w:rFonts w:ascii="仿宋" w:eastAsia="仿宋" w:hAnsi="仿宋" w:cs="Times New Roman"/>
          <w:b/>
          <w:bCs/>
          <w:sz w:val="32"/>
          <w:szCs w:val="32"/>
          <w:lang w:val="fr-FR"/>
        </w:rPr>
      </w:pPr>
      <w:r>
        <w:rPr>
          <w:rFonts w:ascii="仿宋" w:eastAsia="仿宋" w:hAnsi="仿宋" w:cs="仿宋" w:hint="eastAsia"/>
          <w:b/>
          <w:bCs/>
          <w:sz w:val="32"/>
          <w:szCs w:val="32"/>
        </w:rPr>
        <w:t>制剂与规格</w:t>
      </w:r>
      <w:r>
        <w:rPr>
          <w:rFonts w:ascii="仿宋" w:eastAsia="仿宋" w:hAnsi="仿宋" w:cs="仿宋" w:hint="eastAsia"/>
          <w:b/>
          <w:bCs/>
          <w:sz w:val="32"/>
          <w:szCs w:val="32"/>
          <w:lang w:val="fr-FR"/>
        </w:rPr>
        <w:t>：</w:t>
      </w:r>
      <w:r>
        <w:rPr>
          <w:rFonts w:ascii="仿宋" w:eastAsia="仿宋" w:hAnsi="仿宋" w:cs="仿宋" w:hint="eastAsia"/>
          <w:sz w:val="32"/>
          <w:szCs w:val="32"/>
        </w:rPr>
        <w:t>胶囊：</w:t>
      </w:r>
      <w:r>
        <w:rPr>
          <w:rFonts w:ascii="仿宋" w:eastAsia="仿宋" w:hAnsi="仿宋" w:cs="仿宋"/>
          <w:sz w:val="32"/>
          <w:szCs w:val="32"/>
          <w:lang w:val="fr-FR"/>
        </w:rPr>
        <w:t>10mg</w:t>
      </w:r>
      <w:r>
        <w:rPr>
          <w:rFonts w:ascii="仿宋" w:eastAsia="仿宋" w:hAnsi="仿宋" w:cs="仿宋" w:hint="eastAsia"/>
          <w:sz w:val="32"/>
          <w:szCs w:val="32"/>
        </w:rPr>
        <w:t>、</w:t>
      </w:r>
      <w:r>
        <w:rPr>
          <w:rFonts w:ascii="仿宋" w:eastAsia="仿宋" w:hAnsi="仿宋" w:cs="仿宋"/>
          <w:sz w:val="32"/>
          <w:szCs w:val="32"/>
          <w:lang w:val="fr-FR"/>
        </w:rPr>
        <w:t xml:space="preserve">25mg </w:t>
      </w:r>
    </w:p>
    <w:p w:rsidR="00B23A40" w:rsidRDefault="00DD1A0D">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适应证：</w:t>
      </w:r>
      <w:r>
        <w:rPr>
          <w:rFonts w:ascii="仿宋" w:eastAsia="仿宋" w:hAnsi="仿宋" w:cs="仿宋" w:hint="eastAsia"/>
          <w:sz w:val="32"/>
          <w:szCs w:val="32"/>
        </w:rPr>
        <w:t>初治及复发难治性多发性骨髓瘤。</w:t>
      </w:r>
    </w:p>
    <w:p w:rsidR="00B23A40" w:rsidRDefault="00DD1A0D">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B23A40" w:rsidRDefault="00DD1A0D">
      <w:pPr>
        <w:spacing w:line="360" w:lineRule="auto"/>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药物具有骨髓抑制作用，应用后需要监测患者血常规。</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对于适合接收自体干细胞移植的病人，移植前建议接受不要超过</w:t>
      </w:r>
      <w:r>
        <w:rPr>
          <w:rFonts w:ascii="仿宋" w:eastAsia="仿宋" w:hAnsi="仿宋" w:cs="仿宋"/>
          <w:sz w:val="32"/>
          <w:szCs w:val="32"/>
        </w:rPr>
        <w:t>4</w:t>
      </w:r>
      <w:r>
        <w:rPr>
          <w:rFonts w:ascii="仿宋" w:eastAsia="仿宋" w:hAnsi="仿宋" w:cs="仿宋" w:hint="eastAsia"/>
          <w:sz w:val="32"/>
          <w:szCs w:val="32"/>
        </w:rPr>
        <w:t>个疗程含有来那度胺的治疗。</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硼替佐米与来那度胺具有协同作用。</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肾功能不全的骨髓瘤患者需要减量。</w:t>
      </w:r>
    </w:p>
    <w:p w:rsidR="00B23A40" w:rsidRDefault="00DD1A0D">
      <w:pPr>
        <w:spacing w:line="360" w:lineRule="auto"/>
        <w:ind w:firstLineChars="200" w:firstLine="640"/>
        <w:rPr>
          <w:rFonts w:ascii="仿宋" w:eastAsia="仿宋" w:hAnsi="仿宋" w:cs="仿宋"/>
          <w:sz w:val="32"/>
          <w:szCs w:val="32"/>
        </w:rPr>
      </w:pPr>
      <w:r>
        <w:rPr>
          <w:rFonts w:ascii="仿宋" w:eastAsia="仿宋" w:hAnsi="仿宋" w:cs="仿宋"/>
          <w:sz w:val="32"/>
          <w:szCs w:val="32"/>
        </w:rPr>
        <w:t>5.</w:t>
      </w:r>
      <w:r>
        <w:rPr>
          <w:rFonts w:ascii="仿宋" w:eastAsia="仿宋" w:hAnsi="仿宋" w:cs="仿宋" w:hint="eastAsia"/>
          <w:sz w:val="32"/>
          <w:szCs w:val="32"/>
        </w:rPr>
        <w:t>长期应用会增加第二肿瘤的风险。</w:t>
      </w:r>
    </w:p>
    <w:p w:rsidR="00B23A40" w:rsidRDefault="00DD1A0D">
      <w:pPr>
        <w:spacing w:line="360" w:lineRule="auto"/>
        <w:ind w:firstLineChars="200" w:firstLine="640"/>
        <w:rPr>
          <w:rFonts w:ascii="仿宋" w:eastAsia="仿宋" w:hAnsi="仿宋" w:cs="仿宋"/>
          <w:b/>
          <w:bCs/>
          <w:sz w:val="32"/>
          <w:szCs w:val="32"/>
        </w:rPr>
      </w:pPr>
      <w:r>
        <w:rPr>
          <w:rFonts w:ascii="仿宋" w:eastAsia="仿宋" w:hAnsi="仿宋" w:cs="仿宋" w:hint="eastAsia"/>
          <w:sz w:val="32"/>
          <w:szCs w:val="32"/>
        </w:rPr>
        <w:t>6.血细胞减少、皮疹为来那度胺常见的不良反应，其余包括深静脉血栓。</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7</w:t>
      </w:r>
      <w:r>
        <w:rPr>
          <w:rFonts w:ascii="仿宋" w:eastAsia="仿宋" w:hAnsi="仿宋" w:cs="仿宋"/>
          <w:sz w:val="32"/>
          <w:szCs w:val="32"/>
        </w:rPr>
        <w:t>.</w:t>
      </w:r>
      <w:r>
        <w:rPr>
          <w:rFonts w:ascii="仿宋" w:eastAsia="仿宋" w:hAnsi="仿宋" w:cs="仿宋" w:hint="eastAsia"/>
          <w:sz w:val="32"/>
          <w:szCs w:val="32"/>
        </w:rPr>
        <w:t>对于接受来那度胺与地塞米松联合治疗的多发性骨髓瘤患者，深静脉血栓和肺栓塞的风险显著升高。需要密切注意血栓导致的症状和体征，合并高危血栓风险时建议给予预防性抗凝。</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lastRenderedPageBreak/>
        <w:t>8</w:t>
      </w:r>
      <w:r>
        <w:rPr>
          <w:rFonts w:ascii="仿宋" w:eastAsia="仿宋" w:hAnsi="仿宋" w:cs="仿宋"/>
          <w:sz w:val="32"/>
          <w:szCs w:val="32"/>
        </w:rPr>
        <w:t>.</w:t>
      </w:r>
      <w:r>
        <w:rPr>
          <w:rFonts w:ascii="仿宋" w:eastAsia="仿宋" w:hAnsi="仿宋" w:cs="仿宋" w:hint="eastAsia"/>
          <w:sz w:val="32"/>
          <w:szCs w:val="32"/>
        </w:rPr>
        <w:t>可能会有胚胎</w:t>
      </w:r>
      <w:r>
        <w:rPr>
          <w:rFonts w:ascii="仿宋" w:eastAsia="仿宋" w:hAnsi="仿宋" w:cs="仿宋"/>
          <w:sz w:val="32"/>
          <w:szCs w:val="32"/>
        </w:rPr>
        <w:t>-</w:t>
      </w:r>
      <w:r>
        <w:rPr>
          <w:rFonts w:ascii="仿宋" w:eastAsia="仿宋" w:hAnsi="仿宋" w:cs="仿宋" w:hint="eastAsia"/>
          <w:sz w:val="32"/>
          <w:szCs w:val="32"/>
        </w:rPr>
        <w:t>生殖毒性，使用期间注意避孕。</w:t>
      </w:r>
    </w:p>
    <w:p w:rsidR="00B23A40" w:rsidRDefault="00DD1A0D">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vertAlign w:val="superscript"/>
        </w:rPr>
        <w:t>※</w:t>
      </w:r>
      <w:r>
        <w:rPr>
          <w:rFonts w:ascii="仿宋" w:eastAsia="仿宋" w:hAnsi="仿宋" w:cs="仿宋" w:hint="eastAsia"/>
          <w:sz w:val="32"/>
          <w:szCs w:val="32"/>
        </w:rPr>
        <w:t>9</w:t>
      </w:r>
      <w:r>
        <w:rPr>
          <w:rFonts w:ascii="仿宋" w:eastAsia="仿宋" w:hAnsi="仿宋" w:cs="仿宋"/>
          <w:sz w:val="32"/>
          <w:szCs w:val="32"/>
        </w:rPr>
        <w:t>.</w:t>
      </w:r>
      <w:r>
        <w:rPr>
          <w:rFonts w:ascii="仿宋" w:eastAsia="仿宋" w:hAnsi="仿宋" w:cs="仿宋" w:hint="eastAsia"/>
          <w:sz w:val="32"/>
          <w:szCs w:val="32"/>
        </w:rPr>
        <w:t>滤泡细胞淋巴瘤（全球其他国家已批准的适应证）。</w:t>
      </w:r>
    </w:p>
    <w:p w:rsidR="00B23A40" w:rsidRDefault="00DD1A0D">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vertAlign w:val="superscript"/>
        </w:rPr>
        <w:t>※</w:t>
      </w:r>
      <w:r>
        <w:rPr>
          <w:rFonts w:ascii="仿宋" w:eastAsia="仿宋" w:hAnsi="仿宋" w:cs="仿宋" w:hint="eastAsia"/>
          <w:sz w:val="32"/>
          <w:szCs w:val="32"/>
        </w:rPr>
        <w:t>10</w:t>
      </w:r>
      <w:r>
        <w:rPr>
          <w:rFonts w:ascii="仿宋" w:eastAsia="仿宋" w:hAnsi="仿宋" w:cs="仿宋"/>
          <w:sz w:val="32"/>
          <w:szCs w:val="32"/>
        </w:rPr>
        <w:t>.POEMS</w:t>
      </w:r>
      <w:r>
        <w:rPr>
          <w:rFonts w:ascii="仿宋" w:eastAsia="仿宋" w:hAnsi="仿宋" w:cs="仿宋" w:hint="eastAsia"/>
          <w:sz w:val="32"/>
          <w:szCs w:val="32"/>
        </w:rPr>
        <w:t>综合征（仅有Ⅰ～Ⅱ期临床研究数据）。</w:t>
      </w:r>
    </w:p>
    <w:p w:rsidR="00B23A40" w:rsidRDefault="00DD1A0D">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vertAlign w:val="superscript"/>
        </w:rPr>
        <w:t>※</w:t>
      </w:r>
      <w:r>
        <w:rPr>
          <w:rFonts w:ascii="仿宋" w:eastAsia="仿宋" w:hAnsi="仿宋" w:cs="仿宋"/>
          <w:sz w:val="32"/>
          <w:szCs w:val="32"/>
        </w:rPr>
        <w:t>1</w:t>
      </w:r>
      <w:r>
        <w:rPr>
          <w:rFonts w:ascii="仿宋" w:eastAsia="仿宋" w:hAnsi="仿宋" w:cs="仿宋" w:hint="eastAsia"/>
          <w:sz w:val="32"/>
          <w:szCs w:val="32"/>
        </w:rPr>
        <w:t>1</w:t>
      </w:r>
      <w:r>
        <w:rPr>
          <w:rFonts w:ascii="仿宋" w:eastAsia="仿宋" w:hAnsi="仿宋" w:cs="仿宋"/>
          <w:sz w:val="32"/>
          <w:szCs w:val="32"/>
        </w:rPr>
        <w:t>.</w:t>
      </w:r>
      <w:r>
        <w:rPr>
          <w:rFonts w:ascii="仿宋" w:eastAsia="仿宋" w:hAnsi="仿宋" w:cs="仿宋" w:hint="eastAsia"/>
          <w:sz w:val="32"/>
          <w:szCs w:val="32"/>
        </w:rPr>
        <w:t>轻链淀粉样变性（仅有Ⅰ～Ⅱ期临床研究数据）。</w:t>
      </w:r>
    </w:p>
    <w:p w:rsidR="00B23A40" w:rsidRDefault="00DD1A0D">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vertAlign w:val="superscript"/>
        </w:rPr>
        <w:t>※</w:t>
      </w:r>
      <w:r>
        <w:rPr>
          <w:rFonts w:ascii="仿宋" w:eastAsia="仿宋" w:hAnsi="仿宋" w:cs="仿宋"/>
          <w:sz w:val="32"/>
          <w:szCs w:val="32"/>
        </w:rPr>
        <w:t>1</w:t>
      </w:r>
      <w:r>
        <w:rPr>
          <w:rFonts w:ascii="仿宋" w:eastAsia="仿宋" w:hAnsi="仿宋" w:cs="仿宋" w:hint="eastAsia"/>
          <w:sz w:val="32"/>
          <w:szCs w:val="32"/>
        </w:rPr>
        <w:t>2</w:t>
      </w:r>
      <w:r>
        <w:rPr>
          <w:rFonts w:ascii="仿宋" w:eastAsia="仿宋" w:hAnsi="仿宋" w:cs="仿宋"/>
          <w:sz w:val="32"/>
          <w:szCs w:val="32"/>
        </w:rPr>
        <w:t>.MGRS</w:t>
      </w:r>
      <w:r>
        <w:rPr>
          <w:rFonts w:ascii="仿宋" w:eastAsia="仿宋" w:hAnsi="仿宋" w:cs="仿宋" w:hint="eastAsia"/>
          <w:sz w:val="32"/>
          <w:szCs w:val="32"/>
        </w:rPr>
        <w:t>（仅有Ⅰ～Ⅱ期临床研究数据）。</w:t>
      </w:r>
    </w:p>
    <w:p w:rsidR="00B23A40" w:rsidRDefault="00DD1A0D">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vertAlign w:val="superscript"/>
        </w:rPr>
        <w:t>※</w:t>
      </w:r>
      <w:r>
        <w:rPr>
          <w:rFonts w:ascii="仿宋" w:eastAsia="仿宋" w:hAnsi="仿宋" w:cs="仿宋"/>
          <w:sz w:val="32"/>
          <w:szCs w:val="32"/>
        </w:rPr>
        <w:t>1</w:t>
      </w:r>
      <w:r>
        <w:rPr>
          <w:rFonts w:ascii="仿宋" w:eastAsia="仿宋" w:hAnsi="仿宋" w:cs="仿宋" w:hint="eastAsia"/>
          <w:sz w:val="32"/>
          <w:szCs w:val="32"/>
        </w:rPr>
        <w:t>3</w:t>
      </w:r>
      <w:r>
        <w:rPr>
          <w:rFonts w:ascii="仿宋" w:eastAsia="仿宋" w:hAnsi="仿宋" w:cs="仿宋"/>
          <w:sz w:val="32"/>
          <w:szCs w:val="32"/>
        </w:rPr>
        <w:t>.del</w:t>
      </w:r>
      <w:r>
        <w:rPr>
          <w:rFonts w:ascii="仿宋" w:eastAsia="仿宋" w:hAnsi="仿宋" w:cs="仿宋" w:hint="eastAsia"/>
          <w:sz w:val="32"/>
          <w:szCs w:val="32"/>
        </w:rPr>
        <w:t>（</w:t>
      </w:r>
      <w:r>
        <w:rPr>
          <w:rFonts w:ascii="仿宋" w:eastAsia="仿宋" w:hAnsi="仿宋" w:cs="仿宋"/>
          <w:sz w:val="32"/>
          <w:szCs w:val="32"/>
        </w:rPr>
        <w:t>5q</w:t>
      </w:r>
      <w:r>
        <w:rPr>
          <w:rFonts w:ascii="仿宋" w:eastAsia="仿宋" w:hAnsi="仿宋" w:cs="仿宋" w:hint="eastAsia"/>
          <w:sz w:val="32"/>
          <w:szCs w:val="32"/>
        </w:rPr>
        <w:t>）的低危</w:t>
      </w:r>
      <w:r>
        <w:rPr>
          <w:rFonts w:ascii="仿宋" w:eastAsia="仿宋" w:hAnsi="仿宋" w:cs="仿宋"/>
          <w:sz w:val="32"/>
          <w:szCs w:val="32"/>
        </w:rPr>
        <w:t>/</w:t>
      </w:r>
      <w:r>
        <w:rPr>
          <w:rFonts w:ascii="仿宋" w:eastAsia="仿宋" w:hAnsi="仿宋" w:cs="仿宋" w:hint="eastAsia"/>
          <w:sz w:val="32"/>
          <w:szCs w:val="32"/>
        </w:rPr>
        <w:t>中危</w:t>
      </w:r>
      <w:r>
        <w:rPr>
          <w:rFonts w:ascii="仿宋" w:eastAsia="仿宋" w:hAnsi="仿宋" w:cs="仿宋"/>
          <w:sz w:val="32"/>
          <w:szCs w:val="32"/>
        </w:rPr>
        <w:t>1</w:t>
      </w:r>
      <w:r>
        <w:rPr>
          <w:rFonts w:ascii="仿宋" w:eastAsia="仿宋" w:hAnsi="仿宋" w:cs="仿宋" w:hint="eastAsia"/>
          <w:sz w:val="32"/>
          <w:szCs w:val="32"/>
        </w:rPr>
        <w:t>骨髓增生异常综合征（全球其他国家已批准的适应证）。</w:t>
      </w:r>
    </w:p>
    <w:p w:rsidR="00B23A40" w:rsidRDefault="00DD1A0D">
      <w:pPr>
        <w:spacing w:line="360" w:lineRule="auto"/>
        <w:ind w:firstLineChars="200" w:firstLine="640"/>
        <w:rPr>
          <w:rFonts w:ascii="仿宋" w:eastAsia="仿宋" w:hAnsi="仿宋" w:cs="Times New Roman"/>
          <w:sz w:val="32"/>
          <w:szCs w:val="32"/>
        </w:rPr>
      </w:pPr>
      <w:r>
        <w:rPr>
          <w:rFonts w:ascii="黑体" w:eastAsia="黑体" w:hAnsi="黑体" w:cs="黑体" w:hint="eastAsia"/>
          <w:sz w:val="32"/>
          <w:szCs w:val="32"/>
        </w:rPr>
        <w:t xml:space="preserve">十一、沙利度胺 </w:t>
      </w:r>
      <w:r>
        <w:rPr>
          <w:rFonts w:ascii="黑体" w:eastAsia="黑体" w:hAnsi="黑体" w:cs="黑体"/>
          <w:sz w:val="32"/>
          <w:szCs w:val="32"/>
        </w:rPr>
        <w:t>thalidomide</w:t>
      </w:r>
    </w:p>
    <w:p w:rsidR="00B23A40" w:rsidRDefault="00DD1A0D">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）片剂：</w:t>
      </w:r>
      <w:r>
        <w:rPr>
          <w:rFonts w:ascii="仿宋" w:eastAsia="仿宋" w:hAnsi="仿宋" w:cs="仿宋"/>
          <w:sz w:val="32"/>
          <w:szCs w:val="32"/>
        </w:rPr>
        <w:t>25mg</w:t>
      </w: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）胶囊：</w:t>
      </w:r>
      <w:r>
        <w:rPr>
          <w:rFonts w:ascii="仿宋" w:eastAsia="仿宋" w:hAnsi="仿宋" w:cs="仿宋"/>
          <w:sz w:val="32"/>
          <w:szCs w:val="32"/>
        </w:rPr>
        <w:t>25mg</w:t>
      </w:r>
    </w:p>
    <w:p w:rsidR="00B23A40" w:rsidRDefault="00DD1A0D">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适应证：</w:t>
      </w:r>
      <w:r>
        <w:rPr>
          <w:rFonts w:ascii="仿宋" w:eastAsia="仿宋" w:hAnsi="仿宋" w:cs="仿宋" w:hint="eastAsia"/>
          <w:sz w:val="32"/>
          <w:szCs w:val="32"/>
        </w:rPr>
        <w:t>瘤型麻风病。</w:t>
      </w:r>
    </w:p>
    <w:p w:rsidR="00B23A40" w:rsidRDefault="00DD1A0D">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沙利度胺可以引起心率减慢，严重者出现三度房室传导阻滞。</w:t>
      </w:r>
    </w:p>
    <w:p w:rsidR="00B23A40" w:rsidRDefault="00DD1A0D">
      <w:pPr>
        <w:spacing w:line="360" w:lineRule="auto"/>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 xml:space="preserve"> 沙利度胺具有致畸性，严禁用于妊娠患者。其他不良反应包括心率减慢、皮疹、便秘、周围神经病变、嗜睡及深静脉血栓等，可通过减量以及辅助用药缓解。</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硼替佐米与沙利度胺具有协同作用。</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对于接受沙利度胺与地塞米松联合治疗的多发性骨髓瘤患者，深静脉血栓和肺栓塞的风险显著升高。需要密切注意血栓导致的症状和体征，合并高危血栓风险时建议给予预防性抗凝。</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5.</w:t>
      </w:r>
      <w:r>
        <w:rPr>
          <w:rFonts w:ascii="仿宋" w:eastAsia="仿宋" w:hAnsi="仿宋" w:cs="仿宋" w:hint="eastAsia"/>
          <w:sz w:val="32"/>
          <w:szCs w:val="32"/>
        </w:rPr>
        <w:t>细胞遗传学高危患者不建议单独使用沙利度胺进行</w:t>
      </w:r>
      <w:r>
        <w:rPr>
          <w:rFonts w:ascii="仿宋" w:eastAsia="仿宋" w:hAnsi="仿宋" w:cs="仿宋" w:hint="eastAsia"/>
          <w:sz w:val="32"/>
          <w:szCs w:val="32"/>
        </w:rPr>
        <w:lastRenderedPageBreak/>
        <w:t>维持治疗。</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6.</w:t>
      </w:r>
      <w:r>
        <w:rPr>
          <w:rFonts w:ascii="仿宋" w:eastAsia="仿宋" w:hAnsi="仿宋" w:cs="仿宋" w:hint="eastAsia"/>
          <w:sz w:val="32"/>
          <w:szCs w:val="32"/>
        </w:rPr>
        <w:t>有胚胎</w:t>
      </w:r>
      <w:r>
        <w:rPr>
          <w:rFonts w:ascii="仿宋" w:eastAsia="仿宋" w:hAnsi="仿宋" w:cs="仿宋"/>
          <w:sz w:val="32"/>
          <w:szCs w:val="32"/>
        </w:rPr>
        <w:t>-</w:t>
      </w:r>
      <w:r>
        <w:rPr>
          <w:rFonts w:ascii="仿宋" w:eastAsia="仿宋" w:hAnsi="仿宋" w:cs="仿宋" w:hint="eastAsia"/>
          <w:sz w:val="32"/>
          <w:szCs w:val="32"/>
        </w:rPr>
        <w:t>生殖毒性，孕期妇女可引起胎儿海豹畸形，应注意避孕。</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7.</w:t>
      </w:r>
      <w:r>
        <w:rPr>
          <w:rFonts w:ascii="仿宋" w:eastAsia="仿宋" w:hAnsi="仿宋" w:cs="仿宋" w:hint="eastAsia"/>
          <w:sz w:val="32"/>
          <w:szCs w:val="32"/>
        </w:rPr>
        <w:t>服用后会出现嗜睡，眩晕，不建议开车，应临睡前服用。</w:t>
      </w:r>
    </w:p>
    <w:p w:rsidR="00B23A40" w:rsidRDefault="00DD1A0D">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vertAlign w:val="superscript"/>
        </w:rPr>
        <w:t>※</w:t>
      </w:r>
      <w:r>
        <w:rPr>
          <w:rFonts w:ascii="仿宋" w:eastAsia="仿宋" w:hAnsi="仿宋" w:cs="仿宋"/>
          <w:sz w:val="32"/>
          <w:szCs w:val="32"/>
        </w:rPr>
        <w:t>8.</w:t>
      </w:r>
      <w:r>
        <w:rPr>
          <w:rFonts w:ascii="仿宋" w:eastAsia="仿宋" w:hAnsi="仿宋" w:cs="仿宋" w:hint="eastAsia"/>
          <w:sz w:val="32"/>
          <w:szCs w:val="32"/>
        </w:rPr>
        <w:t>沙利度胺可以用于初治及难治复发多发性骨髓瘤病人（在国外大多数国家都已经批准用于初治以及难治复发骨髓瘤治疗）。</w:t>
      </w:r>
    </w:p>
    <w:p w:rsidR="00B23A40" w:rsidRDefault="00DD1A0D">
      <w:pPr>
        <w:ind w:firstLineChars="200" w:firstLine="640"/>
        <w:rPr>
          <w:rFonts w:ascii="黑体" w:eastAsia="黑体" w:hAnsi="黑体"/>
          <w:color w:val="000000"/>
          <w:sz w:val="32"/>
          <w:szCs w:val="32"/>
        </w:rPr>
      </w:pPr>
      <w:r>
        <w:rPr>
          <w:rFonts w:ascii="黑体" w:eastAsia="黑体" w:hAnsi="黑体" w:hint="eastAsia"/>
          <w:color w:val="000000"/>
          <w:sz w:val="32"/>
          <w:szCs w:val="32"/>
        </w:rPr>
        <w:t>十二、伊沙佐米 i</w:t>
      </w:r>
      <w:r>
        <w:rPr>
          <w:rFonts w:ascii="黑体" w:eastAsia="黑体" w:hAnsi="黑体"/>
          <w:color w:val="000000"/>
          <w:sz w:val="32"/>
          <w:szCs w:val="32"/>
        </w:rPr>
        <w:t>xazomib</w:t>
      </w:r>
    </w:p>
    <w:p w:rsidR="00B23A40" w:rsidRDefault="00DD1A0D">
      <w:pPr>
        <w:ind w:firstLineChars="200" w:firstLine="643"/>
        <w:rPr>
          <w:rFonts w:ascii="仿宋" w:eastAsia="仿宋" w:hAnsi="仿宋"/>
          <w:color w:val="000000"/>
          <w:sz w:val="32"/>
          <w:szCs w:val="32"/>
        </w:rPr>
      </w:pPr>
      <w:r>
        <w:rPr>
          <w:rFonts w:ascii="仿宋" w:eastAsia="仿宋" w:hAnsi="仿宋" w:hint="eastAsia"/>
          <w:b/>
          <w:color w:val="000000"/>
          <w:sz w:val="32"/>
          <w:szCs w:val="32"/>
        </w:rPr>
        <w:t>制剂与规格：</w:t>
      </w:r>
      <w:r>
        <w:rPr>
          <w:rFonts w:ascii="仿宋" w:eastAsia="仿宋" w:hAnsi="仿宋" w:hint="eastAsia"/>
          <w:color w:val="000000"/>
          <w:sz w:val="32"/>
          <w:szCs w:val="32"/>
        </w:rPr>
        <w:t>胶囊：2.3mg、3mg、4mg</w:t>
      </w:r>
    </w:p>
    <w:p w:rsidR="00B23A40" w:rsidRDefault="00DD1A0D">
      <w:pPr>
        <w:ind w:firstLineChars="200" w:firstLine="643"/>
        <w:rPr>
          <w:rFonts w:ascii="仿宋" w:eastAsia="仿宋" w:hAnsi="仿宋"/>
          <w:color w:val="000000"/>
          <w:sz w:val="32"/>
          <w:szCs w:val="32"/>
        </w:rPr>
      </w:pPr>
      <w:r>
        <w:rPr>
          <w:rFonts w:ascii="仿宋" w:eastAsia="仿宋" w:hAnsi="仿宋" w:hint="eastAsia"/>
          <w:b/>
          <w:color w:val="000000"/>
          <w:sz w:val="32"/>
          <w:szCs w:val="32"/>
        </w:rPr>
        <w:t>适应证：</w:t>
      </w:r>
      <w:r>
        <w:rPr>
          <w:rFonts w:ascii="仿宋" w:eastAsia="仿宋" w:hAnsi="仿宋" w:hint="eastAsia"/>
          <w:color w:val="000000"/>
          <w:sz w:val="32"/>
          <w:szCs w:val="32"/>
        </w:rPr>
        <w:t>与来那度胺和地塞米松联用，治疗已接受过至少一种既往治疗的多发性骨髓瘤成人患者。</w:t>
      </w:r>
    </w:p>
    <w:p w:rsidR="00B23A40" w:rsidRDefault="00DD1A0D">
      <w:pPr>
        <w:ind w:firstLineChars="200" w:firstLine="643"/>
        <w:rPr>
          <w:rFonts w:ascii="仿宋" w:eastAsia="仿宋" w:hAnsi="仿宋"/>
          <w:b/>
          <w:color w:val="000000"/>
          <w:sz w:val="32"/>
          <w:szCs w:val="32"/>
        </w:rPr>
      </w:pPr>
      <w:r>
        <w:rPr>
          <w:rFonts w:ascii="仿宋" w:eastAsia="仿宋" w:hAnsi="仿宋" w:hint="eastAsia"/>
          <w:b/>
          <w:color w:val="000000"/>
          <w:sz w:val="32"/>
          <w:szCs w:val="32"/>
        </w:rPr>
        <w:t>合理用药要点：</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1.本品的给药途径为口服。患者应该在每个治疗周期第1、8和15天大致相同的时间服药，在进餐前至少1小时或进餐后至少2小时服用本品，应用水送服整粒胶囊。请勿压碎、咀嚼或打开胶囊。</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2.在开始一个新的治疗周期前应满足：中性粒细胞绝对计数应为≥1.0×</w:t>
      </w:r>
      <w:r>
        <w:rPr>
          <w:rFonts w:ascii="仿宋" w:eastAsia="仿宋" w:hAnsi="仿宋"/>
          <w:color w:val="000000"/>
          <w:sz w:val="32"/>
          <w:szCs w:val="32"/>
        </w:rPr>
        <w:t>10</w:t>
      </w:r>
      <w:r>
        <w:rPr>
          <w:rFonts w:ascii="仿宋" w:eastAsia="仿宋" w:hAnsi="仿宋"/>
          <w:color w:val="000000"/>
          <w:sz w:val="32"/>
          <w:szCs w:val="32"/>
          <w:vertAlign w:val="superscript"/>
        </w:rPr>
        <w:t>9</w:t>
      </w:r>
      <w:r>
        <w:rPr>
          <w:rFonts w:ascii="仿宋" w:eastAsia="仿宋" w:hAnsi="仿宋"/>
          <w:color w:val="000000"/>
          <w:sz w:val="32"/>
          <w:szCs w:val="32"/>
        </w:rPr>
        <w:t>/L</w:t>
      </w:r>
      <w:r>
        <w:rPr>
          <w:rFonts w:ascii="仿宋" w:eastAsia="仿宋" w:hAnsi="仿宋" w:hint="eastAsia"/>
          <w:color w:val="000000"/>
          <w:sz w:val="32"/>
          <w:szCs w:val="32"/>
        </w:rPr>
        <w:t>、血小板计数应≥75×</w:t>
      </w:r>
      <w:r>
        <w:rPr>
          <w:rFonts w:ascii="仿宋" w:eastAsia="仿宋" w:hAnsi="仿宋"/>
          <w:color w:val="000000"/>
          <w:sz w:val="32"/>
          <w:szCs w:val="32"/>
        </w:rPr>
        <w:t>10</w:t>
      </w:r>
      <w:r>
        <w:rPr>
          <w:rFonts w:ascii="仿宋" w:eastAsia="仿宋" w:hAnsi="仿宋"/>
          <w:color w:val="000000"/>
          <w:sz w:val="32"/>
          <w:szCs w:val="32"/>
          <w:vertAlign w:val="superscript"/>
        </w:rPr>
        <w:t>9</w:t>
      </w:r>
      <w:r>
        <w:rPr>
          <w:rFonts w:ascii="仿宋" w:eastAsia="仿宋" w:hAnsi="仿宋"/>
          <w:color w:val="000000"/>
          <w:sz w:val="32"/>
          <w:szCs w:val="32"/>
        </w:rPr>
        <w:t>/L</w:t>
      </w:r>
      <w:r>
        <w:rPr>
          <w:rFonts w:ascii="仿宋" w:eastAsia="仿宋" w:hAnsi="仿宋" w:hint="eastAsia"/>
          <w:color w:val="000000"/>
          <w:sz w:val="32"/>
          <w:szCs w:val="32"/>
        </w:rPr>
        <w:t>，非血液学毒性一般应恢复至患者的基线状况或≤1级。</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3.治疗应持续至疾病进展或出现不可接受的毒性。由于24个周期之后的耐受性和毒性相关数据有限，因此对于需要</w:t>
      </w:r>
      <w:r>
        <w:rPr>
          <w:rFonts w:ascii="仿宋" w:eastAsia="仿宋" w:hAnsi="仿宋" w:hint="eastAsia"/>
          <w:color w:val="000000"/>
          <w:sz w:val="32"/>
          <w:szCs w:val="32"/>
        </w:rPr>
        <w:lastRenderedPageBreak/>
        <w:t>长于24个周期的联合给药治疗，应基于患者个体获益风险评估结果。</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4.如果延误或漏服一剂本品，只有当距离下次计划给药时间≥72小时，方可补服漏服剂量。距离在下次计划给药的72小时内不得补服漏服剂量。不得服用双倍剂量以弥补漏服的剂量。如果患者在服药后呕吐，不应重复服药，而应在下次计划给药时恢复给药。</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5.在接受本品治疗的患者中，应考虑抗病毒药物的预防治疗，降低带状疱疹病毒再激活的风险。在伊沙佐米研究中，接受抗病毒药物预防治疗患者的带状疱疹感染发生率低于未接受预防治疗的患者。</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6.对于伊沙佐米和来那度胺血小板减少、中性粒细胞减少和皮疹的重叠毒性，建议交替调整伊沙佐米和来那度胺的剂量。对于这些毒性，剂量调整的第一步是停用/减低来那度胺剂量，关于这些毒性的剂量减低步骤，参见来那度胺药品说明书。</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7.对于轻度肝功能损伤患者（总胆红素≤ULN和AST＞ULN，或总胆红素＞1～1.5倍ULN和AST任何水平），无需调整本品的剂量。对于中度（总胆红素＞1.5～3倍ULN）或重度（总胆红素＞3倍ULN）肝功能损伤患者，建议减量至3mg。</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8.对于轻度或中度肾功能损伤患者（肌酐清除率≥30ml/min），无需调整本品的剂量。对于重度肾功能损伤（肌</w:t>
      </w:r>
      <w:r>
        <w:rPr>
          <w:rFonts w:ascii="仿宋" w:eastAsia="仿宋" w:hAnsi="仿宋" w:hint="eastAsia"/>
          <w:color w:val="000000"/>
          <w:sz w:val="32"/>
          <w:szCs w:val="32"/>
        </w:rPr>
        <w:lastRenderedPageBreak/>
        <w:t>酐清除率＜30ml/min）或需透析的终末期肾病（ESRD）患者，建议减量至3mg。伊沙佐米不能通过透析清除，因此给药时可以无需考虑透析时间。</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9.对于年龄大于65岁的患者，无需调整本品的剂量。</w:t>
      </w:r>
    </w:p>
    <w:p w:rsidR="00B23A40" w:rsidRDefault="00DD1A0D">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10. 伊沙佐米的不良反应包括骨髓抑制、腹泻、便秘、外周水肿。周围神经病变的发生率低于硼替佐米。</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11.伊沙佐米和CYP3A强效抑制剂、CYP1A2强效抑制剂联合给药需要进行剂量调整。</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12.当伊沙佐米与地塞米松（已知是CYP3A4、其他酶和转运蛋白的一种弱效至中效诱导剂）联合给药时，需考虑口服避孕药疗效降低的风险。使用激素避孕的女性还需采用屏障避孕。</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hint="eastAsia"/>
          <w:color w:val="000000"/>
          <w:sz w:val="32"/>
          <w:szCs w:val="32"/>
        </w:rPr>
        <w:t>13.新诊断的多发性骨髓瘤、淀粉样变性、华氏巨球蛋白血症（仅有I～Ⅱ期临床数据）。</w:t>
      </w:r>
    </w:p>
    <w:p w:rsidR="00B23A40" w:rsidRDefault="00DD1A0D">
      <w:p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十三、芦可替尼 r</w:t>
      </w:r>
      <w:r>
        <w:rPr>
          <w:rFonts w:ascii="黑体" w:eastAsia="黑体" w:hAnsi="黑体" w:cs="黑体"/>
          <w:sz w:val="32"/>
          <w:szCs w:val="32"/>
        </w:rPr>
        <w:t>uxolitinib</w:t>
      </w:r>
    </w:p>
    <w:p w:rsidR="00B23A40" w:rsidRDefault="00DD1A0D">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片剂：</w:t>
      </w:r>
      <w:r>
        <w:rPr>
          <w:rFonts w:ascii="仿宋" w:eastAsia="仿宋" w:hAnsi="仿宋" w:cs="仿宋"/>
          <w:sz w:val="32"/>
          <w:szCs w:val="32"/>
        </w:rPr>
        <w:t xml:space="preserve">5mg </w:t>
      </w:r>
    </w:p>
    <w:p w:rsidR="00B23A40" w:rsidRDefault="00DD1A0D">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rPr>
        <w:t>适应证：</w:t>
      </w:r>
      <w:r>
        <w:rPr>
          <w:rFonts w:ascii="仿宋" w:eastAsia="仿宋" w:hAnsi="仿宋" w:cs="仿宋" w:hint="eastAsia"/>
          <w:sz w:val="32"/>
          <w:szCs w:val="32"/>
        </w:rPr>
        <w:t>用于中危或高危的原发性骨髓纤维化（</w:t>
      </w:r>
      <w:r>
        <w:rPr>
          <w:rFonts w:ascii="仿宋" w:eastAsia="仿宋" w:hAnsi="仿宋" w:cs="仿宋"/>
          <w:sz w:val="32"/>
          <w:szCs w:val="32"/>
        </w:rPr>
        <w:t>PMF</w:t>
      </w:r>
      <w:r>
        <w:rPr>
          <w:rFonts w:ascii="仿宋" w:eastAsia="仿宋" w:hAnsi="仿宋" w:cs="仿宋" w:hint="eastAsia"/>
          <w:sz w:val="32"/>
          <w:szCs w:val="32"/>
        </w:rPr>
        <w:t>）（亦称为慢性特发性骨髓纤维化）、真性红细胞增多症继发的骨髓纤维化（</w:t>
      </w:r>
      <w:r>
        <w:rPr>
          <w:rFonts w:ascii="仿宋" w:eastAsia="仿宋" w:hAnsi="仿宋" w:cs="仿宋"/>
          <w:sz w:val="32"/>
          <w:szCs w:val="32"/>
        </w:rPr>
        <w:t>PPV-MF</w:t>
      </w:r>
      <w:r>
        <w:rPr>
          <w:rFonts w:ascii="仿宋" w:eastAsia="仿宋" w:hAnsi="仿宋" w:cs="仿宋" w:hint="eastAsia"/>
          <w:sz w:val="32"/>
          <w:szCs w:val="32"/>
        </w:rPr>
        <w:t>）或原发性血小板增多症继发的骨髓纤维化（</w:t>
      </w:r>
      <w:r>
        <w:rPr>
          <w:rFonts w:ascii="仿宋" w:eastAsia="仿宋" w:hAnsi="仿宋" w:cs="仿宋"/>
          <w:sz w:val="32"/>
          <w:szCs w:val="32"/>
        </w:rPr>
        <w:t>PET-MF</w:t>
      </w:r>
      <w:r>
        <w:rPr>
          <w:rFonts w:ascii="仿宋" w:eastAsia="仿宋" w:hAnsi="仿宋" w:cs="仿宋" w:hint="eastAsia"/>
          <w:sz w:val="32"/>
          <w:szCs w:val="32"/>
        </w:rPr>
        <w:t>）的成年患者，治疗疾病相关脾肿大或疾病相关症状。</w:t>
      </w:r>
    </w:p>
    <w:p w:rsidR="00B23A40" w:rsidRDefault="00DD1A0D">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rPr>
        <w:t>合理用药要点</w:t>
      </w:r>
      <w:r>
        <w:rPr>
          <w:rFonts w:ascii="仿宋" w:eastAsia="仿宋" w:hAnsi="仿宋" w:cs="仿宋" w:hint="eastAsia"/>
          <w:sz w:val="32"/>
          <w:szCs w:val="32"/>
        </w:rPr>
        <w:t>：</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lastRenderedPageBreak/>
        <w:t>1.</w:t>
      </w:r>
      <w:r>
        <w:rPr>
          <w:rFonts w:ascii="仿宋" w:eastAsia="仿宋" w:hAnsi="仿宋" w:cs="仿宋" w:hint="eastAsia"/>
          <w:sz w:val="32"/>
          <w:szCs w:val="32"/>
        </w:rPr>
        <w:t>治疗剂量：按照血小板计数给予起始剂量。（</w:t>
      </w:r>
      <w:r>
        <w:rPr>
          <w:rFonts w:ascii="仿宋" w:eastAsia="仿宋" w:hAnsi="仿宋" w:cs="仿宋"/>
          <w:sz w:val="32"/>
          <w:szCs w:val="32"/>
        </w:rPr>
        <w:t>1</w:t>
      </w:r>
      <w:r>
        <w:rPr>
          <w:rFonts w:ascii="仿宋" w:eastAsia="仿宋" w:hAnsi="仿宋" w:cs="仿宋" w:hint="eastAsia"/>
          <w:sz w:val="32"/>
          <w:szCs w:val="32"/>
        </w:rPr>
        <w:t>）血小板计数在（</w:t>
      </w:r>
      <w:r>
        <w:rPr>
          <w:rFonts w:ascii="仿宋" w:eastAsia="仿宋" w:hAnsi="仿宋" w:cs="仿宋"/>
          <w:sz w:val="32"/>
          <w:szCs w:val="32"/>
        </w:rPr>
        <w:t>100</w:t>
      </w:r>
      <w:r>
        <w:rPr>
          <w:rFonts w:ascii="仿宋" w:eastAsia="仿宋" w:hAnsi="仿宋" w:cs="仿宋" w:hint="eastAsia"/>
          <w:sz w:val="32"/>
          <w:szCs w:val="32"/>
        </w:rPr>
        <w:t>～</w:t>
      </w:r>
      <w:r>
        <w:rPr>
          <w:rFonts w:ascii="仿宋" w:eastAsia="仿宋" w:hAnsi="仿宋" w:cs="仿宋"/>
          <w:sz w:val="32"/>
          <w:szCs w:val="32"/>
        </w:rPr>
        <w:t>200</w:t>
      </w:r>
      <w:r>
        <w:rPr>
          <w:rFonts w:ascii="仿宋" w:eastAsia="仿宋" w:hAnsi="仿宋" w:cs="仿宋" w:hint="eastAsia"/>
          <w:sz w:val="32"/>
          <w:szCs w:val="32"/>
        </w:rPr>
        <w:t>）</w:t>
      </w:r>
      <w:r>
        <w:rPr>
          <w:rFonts w:ascii="仿宋" w:eastAsia="仿宋" w:hAnsi="仿宋" w:hint="eastAsia"/>
          <w:color w:val="000000"/>
          <w:sz w:val="32"/>
          <w:szCs w:val="32"/>
        </w:rPr>
        <w:t>×</w:t>
      </w:r>
      <w:r>
        <w:rPr>
          <w:rFonts w:ascii="仿宋" w:eastAsia="仿宋" w:hAnsi="仿宋"/>
          <w:color w:val="000000"/>
          <w:sz w:val="32"/>
          <w:szCs w:val="32"/>
        </w:rPr>
        <w:t>10</w:t>
      </w:r>
      <w:r>
        <w:rPr>
          <w:rFonts w:ascii="仿宋" w:eastAsia="仿宋" w:hAnsi="仿宋"/>
          <w:color w:val="000000"/>
          <w:sz w:val="32"/>
          <w:szCs w:val="32"/>
          <w:vertAlign w:val="superscript"/>
        </w:rPr>
        <w:t>9</w:t>
      </w:r>
      <w:r>
        <w:rPr>
          <w:rFonts w:ascii="仿宋" w:eastAsia="仿宋" w:hAnsi="仿宋"/>
          <w:color w:val="000000"/>
          <w:sz w:val="32"/>
          <w:szCs w:val="32"/>
        </w:rPr>
        <w:t>/L</w:t>
      </w:r>
      <w:r>
        <w:rPr>
          <w:rFonts w:ascii="仿宋" w:eastAsia="仿宋" w:hAnsi="仿宋" w:cs="仿宋" w:hint="eastAsia"/>
          <w:sz w:val="32"/>
          <w:szCs w:val="32"/>
        </w:rPr>
        <w:t>，起始剂量为</w:t>
      </w:r>
      <w:r>
        <w:rPr>
          <w:rFonts w:ascii="仿宋" w:eastAsia="仿宋" w:hAnsi="仿宋" w:cs="仿宋"/>
          <w:sz w:val="32"/>
          <w:szCs w:val="32"/>
        </w:rPr>
        <w:t>15mg</w:t>
      </w:r>
      <w:r>
        <w:rPr>
          <w:rFonts w:ascii="仿宋" w:eastAsia="仿宋" w:hAnsi="仿宋" w:cs="仿宋" w:hint="eastAsia"/>
          <w:sz w:val="32"/>
          <w:szCs w:val="32"/>
        </w:rPr>
        <w:t>，每日两次。（</w:t>
      </w:r>
      <w:r>
        <w:rPr>
          <w:rFonts w:ascii="仿宋" w:eastAsia="仿宋" w:hAnsi="仿宋" w:cs="仿宋"/>
          <w:sz w:val="32"/>
          <w:szCs w:val="32"/>
        </w:rPr>
        <w:t>2</w:t>
      </w:r>
      <w:r>
        <w:rPr>
          <w:rFonts w:ascii="仿宋" w:eastAsia="仿宋" w:hAnsi="仿宋" w:cs="仿宋" w:hint="eastAsia"/>
          <w:sz w:val="32"/>
          <w:szCs w:val="32"/>
        </w:rPr>
        <w:t>）血小板计数＞</w:t>
      </w:r>
      <w:r>
        <w:rPr>
          <w:rFonts w:ascii="仿宋" w:eastAsia="仿宋" w:hAnsi="仿宋" w:cs="仿宋"/>
          <w:sz w:val="32"/>
          <w:szCs w:val="32"/>
        </w:rPr>
        <w:t>200</w:t>
      </w:r>
      <w:r>
        <w:rPr>
          <w:rFonts w:ascii="仿宋" w:eastAsia="仿宋" w:hAnsi="仿宋" w:hint="eastAsia"/>
          <w:color w:val="000000"/>
          <w:sz w:val="32"/>
          <w:szCs w:val="32"/>
        </w:rPr>
        <w:t>×</w:t>
      </w:r>
      <w:r>
        <w:rPr>
          <w:rFonts w:ascii="仿宋" w:eastAsia="仿宋" w:hAnsi="仿宋"/>
          <w:color w:val="000000"/>
          <w:sz w:val="32"/>
          <w:szCs w:val="32"/>
        </w:rPr>
        <w:t>10</w:t>
      </w:r>
      <w:r>
        <w:rPr>
          <w:rFonts w:ascii="仿宋" w:eastAsia="仿宋" w:hAnsi="仿宋"/>
          <w:color w:val="000000"/>
          <w:sz w:val="32"/>
          <w:szCs w:val="32"/>
          <w:vertAlign w:val="superscript"/>
        </w:rPr>
        <w:t>9</w:t>
      </w:r>
      <w:r>
        <w:rPr>
          <w:rFonts w:ascii="仿宋" w:eastAsia="仿宋" w:hAnsi="仿宋"/>
          <w:color w:val="000000"/>
          <w:sz w:val="32"/>
          <w:szCs w:val="32"/>
        </w:rPr>
        <w:t>/L</w:t>
      </w:r>
      <w:r>
        <w:rPr>
          <w:rFonts w:ascii="仿宋" w:eastAsia="仿宋" w:hAnsi="仿宋" w:cs="仿宋" w:hint="eastAsia"/>
          <w:sz w:val="32"/>
          <w:szCs w:val="32"/>
        </w:rPr>
        <w:t>，起始剂量为</w:t>
      </w:r>
      <w:r>
        <w:rPr>
          <w:rFonts w:ascii="仿宋" w:eastAsia="仿宋" w:hAnsi="仿宋" w:cs="仿宋"/>
          <w:sz w:val="32"/>
          <w:szCs w:val="32"/>
        </w:rPr>
        <w:t>20mg</w:t>
      </w:r>
      <w:r>
        <w:rPr>
          <w:rFonts w:ascii="仿宋" w:eastAsia="仿宋" w:hAnsi="仿宋" w:cs="仿宋" w:hint="eastAsia"/>
          <w:sz w:val="32"/>
          <w:szCs w:val="32"/>
        </w:rPr>
        <w:t>，每日两次。（</w:t>
      </w:r>
      <w:r>
        <w:rPr>
          <w:rFonts w:ascii="仿宋" w:eastAsia="仿宋" w:hAnsi="仿宋" w:cs="仿宋"/>
          <w:sz w:val="32"/>
          <w:szCs w:val="32"/>
        </w:rPr>
        <w:t>3</w:t>
      </w:r>
      <w:r>
        <w:rPr>
          <w:rFonts w:ascii="仿宋" w:eastAsia="仿宋" w:hAnsi="仿宋" w:cs="仿宋" w:hint="eastAsia"/>
          <w:sz w:val="32"/>
          <w:szCs w:val="32"/>
        </w:rPr>
        <w:t>）血小板计数在（</w:t>
      </w:r>
      <w:r>
        <w:rPr>
          <w:rFonts w:ascii="仿宋" w:eastAsia="仿宋" w:hAnsi="仿宋" w:cs="仿宋"/>
          <w:sz w:val="32"/>
          <w:szCs w:val="32"/>
        </w:rPr>
        <w:t>50</w:t>
      </w:r>
      <w:r>
        <w:rPr>
          <w:rFonts w:ascii="仿宋" w:eastAsia="仿宋" w:hAnsi="仿宋" w:cs="仿宋" w:hint="eastAsia"/>
          <w:sz w:val="32"/>
          <w:szCs w:val="32"/>
        </w:rPr>
        <w:t>～</w:t>
      </w:r>
      <w:r>
        <w:rPr>
          <w:rFonts w:ascii="仿宋" w:eastAsia="仿宋" w:hAnsi="仿宋" w:cs="仿宋"/>
          <w:sz w:val="32"/>
          <w:szCs w:val="32"/>
        </w:rPr>
        <w:t>100</w:t>
      </w:r>
      <w:r>
        <w:rPr>
          <w:rFonts w:ascii="仿宋" w:eastAsia="仿宋" w:hAnsi="仿宋" w:cs="仿宋" w:hint="eastAsia"/>
          <w:sz w:val="32"/>
          <w:szCs w:val="32"/>
        </w:rPr>
        <w:t>）</w:t>
      </w:r>
      <w:r>
        <w:rPr>
          <w:rFonts w:ascii="仿宋" w:eastAsia="仿宋" w:hAnsi="仿宋" w:hint="eastAsia"/>
          <w:color w:val="000000"/>
          <w:sz w:val="32"/>
          <w:szCs w:val="32"/>
        </w:rPr>
        <w:t>×</w:t>
      </w:r>
      <w:r>
        <w:rPr>
          <w:rFonts w:ascii="仿宋" w:eastAsia="仿宋" w:hAnsi="仿宋"/>
          <w:color w:val="000000"/>
          <w:sz w:val="32"/>
          <w:szCs w:val="32"/>
        </w:rPr>
        <w:t>10</w:t>
      </w:r>
      <w:r>
        <w:rPr>
          <w:rFonts w:ascii="仿宋" w:eastAsia="仿宋" w:hAnsi="仿宋"/>
          <w:color w:val="000000"/>
          <w:sz w:val="32"/>
          <w:szCs w:val="32"/>
          <w:vertAlign w:val="superscript"/>
        </w:rPr>
        <w:t>9</w:t>
      </w:r>
      <w:r>
        <w:rPr>
          <w:rFonts w:ascii="仿宋" w:eastAsia="仿宋" w:hAnsi="仿宋"/>
          <w:color w:val="000000"/>
          <w:sz w:val="32"/>
          <w:szCs w:val="32"/>
        </w:rPr>
        <w:t>/L</w:t>
      </w:r>
      <w:r>
        <w:rPr>
          <w:rFonts w:ascii="仿宋" w:eastAsia="仿宋" w:hAnsi="仿宋" w:cs="仿宋" w:hint="eastAsia"/>
          <w:sz w:val="32"/>
          <w:szCs w:val="32"/>
        </w:rPr>
        <w:t>，起始剂量为</w:t>
      </w:r>
      <w:r>
        <w:rPr>
          <w:rFonts w:ascii="仿宋" w:eastAsia="仿宋" w:hAnsi="仿宋" w:cs="仿宋"/>
          <w:sz w:val="32"/>
          <w:szCs w:val="32"/>
        </w:rPr>
        <w:t>5mg</w:t>
      </w:r>
      <w:r>
        <w:rPr>
          <w:rFonts w:ascii="仿宋" w:eastAsia="仿宋" w:hAnsi="仿宋" w:cs="仿宋" w:hint="eastAsia"/>
          <w:sz w:val="32"/>
          <w:szCs w:val="32"/>
        </w:rPr>
        <w:t>，每日两次。</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本品可能造成血液系统不良反应，包括血小板减少、贫血和中性粒细胞减少。治疗前，必须进行全血细胞计数检查，之后每周监测一次，</w:t>
      </w:r>
      <w:r>
        <w:rPr>
          <w:rFonts w:ascii="仿宋" w:eastAsia="仿宋" w:hAnsi="仿宋" w:cs="仿宋"/>
          <w:sz w:val="32"/>
          <w:szCs w:val="32"/>
        </w:rPr>
        <w:t>4</w:t>
      </w:r>
      <w:r>
        <w:rPr>
          <w:rFonts w:ascii="仿宋" w:eastAsia="仿宋" w:hAnsi="仿宋" w:cs="仿宋" w:hint="eastAsia"/>
          <w:sz w:val="32"/>
          <w:szCs w:val="32"/>
        </w:rPr>
        <w:t>周后可每</w:t>
      </w:r>
      <w:r>
        <w:rPr>
          <w:rFonts w:ascii="仿宋" w:eastAsia="仿宋" w:hAnsi="仿宋" w:cs="仿宋"/>
          <w:sz w:val="32"/>
          <w:szCs w:val="32"/>
        </w:rPr>
        <w:t>2</w:t>
      </w: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周监测一次，直到达到稳定，然后可以根据临床需要进行监测。当出现血小板减少或贫血时，可减少剂量或暂时停止用药，必要时输注血小板或红细胞。</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中断或终止本品治疗后，骨髓纤维化的症状可能在大约一周后再次出现。若非必须紧急终止治疗，应可以考虑逐步减少本品的用药剂量。</w:t>
      </w:r>
    </w:p>
    <w:p w:rsidR="00B23A40" w:rsidRDefault="00DD1A0D">
      <w:pPr>
        <w:spacing w:line="360" w:lineRule="auto"/>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本品与强效</w:t>
      </w:r>
      <w:r>
        <w:rPr>
          <w:rFonts w:ascii="仿宋" w:eastAsia="仿宋" w:hAnsi="仿宋" w:cs="仿宋"/>
          <w:sz w:val="32"/>
          <w:szCs w:val="32"/>
        </w:rPr>
        <w:t>CYP3A4</w:t>
      </w:r>
      <w:r>
        <w:rPr>
          <w:rFonts w:ascii="仿宋" w:eastAsia="仿宋" w:hAnsi="仿宋" w:cs="仿宋" w:hint="eastAsia"/>
          <w:sz w:val="32"/>
          <w:szCs w:val="32"/>
        </w:rPr>
        <w:t>抑制剂或</w:t>
      </w:r>
      <w:r>
        <w:rPr>
          <w:rFonts w:ascii="仿宋" w:eastAsia="仿宋" w:hAnsi="仿宋" w:cs="仿宋"/>
          <w:sz w:val="32"/>
          <w:szCs w:val="32"/>
        </w:rPr>
        <w:t>CYP2C9</w:t>
      </w:r>
      <w:r>
        <w:rPr>
          <w:rFonts w:ascii="仿宋" w:eastAsia="仿宋" w:hAnsi="仿宋" w:cs="仿宋" w:hint="eastAsia"/>
          <w:sz w:val="32"/>
          <w:szCs w:val="32"/>
        </w:rPr>
        <w:t>和</w:t>
      </w:r>
      <w:r>
        <w:rPr>
          <w:rFonts w:ascii="仿宋" w:eastAsia="仿宋" w:hAnsi="仿宋" w:cs="仿宋"/>
          <w:sz w:val="32"/>
          <w:szCs w:val="32"/>
        </w:rPr>
        <w:t>CYP3A4</w:t>
      </w:r>
      <w:r>
        <w:rPr>
          <w:rFonts w:ascii="仿宋" w:eastAsia="仿宋" w:hAnsi="仿宋" w:cs="仿宋" w:hint="eastAsia"/>
          <w:sz w:val="32"/>
          <w:szCs w:val="32"/>
        </w:rPr>
        <w:t>酶双重抑制剂合并使用时，每日总剂量应减少约</w:t>
      </w:r>
      <w:r>
        <w:rPr>
          <w:rFonts w:ascii="仿宋" w:eastAsia="仿宋" w:hAnsi="仿宋" w:cs="仿宋"/>
          <w:sz w:val="32"/>
          <w:szCs w:val="32"/>
        </w:rPr>
        <w:t>50%</w:t>
      </w:r>
      <w:r>
        <w:rPr>
          <w:rFonts w:ascii="仿宋" w:eastAsia="仿宋" w:hAnsi="仿宋" w:cs="仿宋" w:hint="eastAsia"/>
          <w:sz w:val="32"/>
          <w:szCs w:val="32"/>
        </w:rPr>
        <w:t>。</w:t>
      </w:r>
    </w:p>
    <w:p w:rsidR="00B23A40" w:rsidRDefault="00B23A40">
      <w:pPr>
        <w:spacing w:line="360" w:lineRule="auto"/>
        <w:ind w:firstLineChars="200" w:firstLine="643"/>
        <w:jc w:val="center"/>
        <w:rPr>
          <w:rFonts w:ascii="仿宋" w:eastAsia="仿宋" w:hAnsi="仿宋" w:cs="Times New Roman"/>
          <w:b/>
          <w:bCs/>
          <w:sz w:val="32"/>
          <w:szCs w:val="32"/>
        </w:rPr>
      </w:pPr>
    </w:p>
    <w:p w:rsidR="00B23A40" w:rsidRDefault="00DD1A0D">
      <w:pPr>
        <w:spacing w:line="360" w:lineRule="auto"/>
        <w:ind w:firstLineChars="200" w:firstLine="883"/>
        <w:jc w:val="center"/>
        <w:rPr>
          <w:rFonts w:ascii="宋体" w:cs="Times New Roman"/>
          <w:b/>
          <w:bCs/>
          <w:sz w:val="44"/>
          <w:szCs w:val="44"/>
        </w:rPr>
      </w:pPr>
      <w:r>
        <w:rPr>
          <w:rFonts w:ascii="宋体" w:hAnsi="宋体" w:cs="宋体" w:hint="eastAsia"/>
          <w:b/>
          <w:bCs/>
          <w:sz w:val="44"/>
          <w:szCs w:val="44"/>
        </w:rPr>
        <w:t>泌尿系统肿瘤用药</w:t>
      </w:r>
    </w:p>
    <w:p w:rsidR="00B23A40" w:rsidRDefault="00B23A40">
      <w:pPr>
        <w:spacing w:line="360" w:lineRule="auto"/>
        <w:ind w:firstLineChars="200" w:firstLine="643"/>
        <w:jc w:val="center"/>
        <w:rPr>
          <w:rFonts w:ascii="仿宋" w:eastAsia="仿宋" w:hAnsi="仿宋" w:cs="Times New Roman"/>
          <w:b/>
          <w:bCs/>
          <w:sz w:val="32"/>
          <w:szCs w:val="32"/>
        </w:rPr>
      </w:pPr>
    </w:p>
    <w:p w:rsidR="00B23A40" w:rsidRDefault="00DD1A0D">
      <w:p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 xml:space="preserve">一、依维莫司 </w:t>
      </w:r>
      <w:r>
        <w:rPr>
          <w:rFonts w:ascii="黑体" w:eastAsia="黑体" w:hAnsi="黑体" w:cs="黑体"/>
          <w:sz w:val="32"/>
          <w:szCs w:val="32"/>
        </w:rPr>
        <w:t>everolimus</w:t>
      </w:r>
    </w:p>
    <w:p w:rsidR="00B23A40" w:rsidRDefault="00DD1A0D">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片剂：</w:t>
      </w:r>
      <w:r>
        <w:rPr>
          <w:rFonts w:ascii="仿宋" w:eastAsia="仿宋" w:hAnsi="仿宋" w:hint="eastAsia"/>
          <w:color w:val="000000"/>
          <w:sz w:val="32"/>
          <w:szCs w:val="32"/>
        </w:rPr>
        <w:t>2.5mg、5mg、10mg</w:t>
      </w:r>
    </w:p>
    <w:p w:rsidR="00B23A40" w:rsidRDefault="00DD1A0D">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rPr>
        <w:t>适应证：</w:t>
      </w:r>
      <w:r>
        <w:rPr>
          <w:rFonts w:ascii="仿宋" w:eastAsia="仿宋" w:hAnsi="仿宋" w:cs="仿宋" w:hint="eastAsia"/>
          <w:sz w:val="32"/>
          <w:szCs w:val="32"/>
        </w:rPr>
        <w:t>既往接受舒尼替尼或索拉非尼治疗失败的</w:t>
      </w:r>
      <w:r>
        <w:rPr>
          <w:rFonts w:ascii="仿宋" w:eastAsia="仿宋" w:hAnsi="仿宋" w:cs="仿宋" w:hint="eastAsia"/>
          <w:color w:val="000000"/>
          <w:sz w:val="32"/>
          <w:szCs w:val="32"/>
        </w:rPr>
        <w:t>晚期</w:t>
      </w:r>
      <w:r>
        <w:rPr>
          <w:rFonts w:ascii="仿宋" w:eastAsia="仿宋" w:hAnsi="仿宋" w:cs="仿宋" w:hint="eastAsia"/>
          <w:color w:val="000000"/>
          <w:sz w:val="32"/>
          <w:szCs w:val="32"/>
        </w:rPr>
        <w:lastRenderedPageBreak/>
        <w:t>肾细胞癌</w:t>
      </w:r>
      <w:r>
        <w:rPr>
          <w:rFonts w:ascii="仿宋" w:eastAsia="仿宋" w:hAnsi="仿宋" w:cs="仿宋" w:hint="eastAsia"/>
          <w:sz w:val="32"/>
          <w:szCs w:val="32"/>
        </w:rPr>
        <w:t>（</w:t>
      </w:r>
      <w:r>
        <w:rPr>
          <w:rFonts w:ascii="仿宋" w:eastAsia="仿宋" w:hAnsi="仿宋" w:cs="仿宋"/>
          <w:sz w:val="32"/>
          <w:szCs w:val="32"/>
        </w:rPr>
        <w:t>RCC</w:t>
      </w:r>
      <w:r>
        <w:rPr>
          <w:rFonts w:ascii="仿宋" w:eastAsia="仿宋" w:hAnsi="仿宋" w:cs="仿宋" w:hint="eastAsia"/>
          <w:sz w:val="32"/>
          <w:szCs w:val="32"/>
        </w:rPr>
        <w:t>），目前的研究主要基于透明细胞肾癌。</w:t>
      </w:r>
    </w:p>
    <w:p w:rsidR="00B23A40" w:rsidRDefault="00DD1A0D">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肝功能损伤会使依维莫司暴露量增加，按如下方式进行给药调整：（</w:t>
      </w:r>
      <w:r>
        <w:rPr>
          <w:rFonts w:ascii="仿宋" w:eastAsia="仿宋" w:hAnsi="仿宋" w:cs="仿宋"/>
          <w:sz w:val="32"/>
          <w:szCs w:val="32"/>
        </w:rPr>
        <w:t>1</w:t>
      </w:r>
      <w:r>
        <w:rPr>
          <w:rFonts w:ascii="仿宋" w:eastAsia="仿宋" w:hAnsi="仿宋" w:cs="仿宋" w:hint="eastAsia"/>
          <w:sz w:val="32"/>
          <w:szCs w:val="32"/>
        </w:rPr>
        <w:t>）轻度肝功能损伤（</w:t>
      </w:r>
      <w:r>
        <w:rPr>
          <w:rFonts w:ascii="仿宋" w:eastAsia="仿宋" w:hAnsi="仿宋" w:cs="仿宋"/>
          <w:sz w:val="32"/>
          <w:szCs w:val="32"/>
        </w:rPr>
        <w:t>Child-Pugh A</w:t>
      </w:r>
      <w:r>
        <w:rPr>
          <w:rFonts w:ascii="仿宋" w:eastAsia="仿宋" w:hAnsi="仿宋" w:cs="仿宋" w:hint="eastAsia"/>
          <w:sz w:val="32"/>
          <w:szCs w:val="32"/>
        </w:rPr>
        <w:t>级）：推荐剂量为每天</w:t>
      </w:r>
      <w:r>
        <w:rPr>
          <w:rFonts w:ascii="仿宋" w:eastAsia="仿宋" w:hAnsi="仿宋" w:cs="仿宋"/>
          <w:sz w:val="32"/>
          <w:szCs w:val="32"/>
        </w:rPr>
        <w:t>7.5mg</w:t>
      </w:r>
      <w:r>
        <w:rPr>
          <w:rFonts w:ascii="仿宋" w:eastAsia="仿宋" w:hAnsi="仿宋" w:cs="仿宋" w:hint="eastAsia"/>
          <w:sz w:val="32"/>
          <w:szCs w:val="32"/>
        </w:rPr>
        <w:t>；如果不能很好地耐受，可将剂量降至每天</w:t>
      </w:r>
      <w:r>
        <w:rPr>
          <w:rFonts w:ascii="仿宋" w:eastAsia="仿宋" w:hAnsi="仿宋" w:cs="仿宋"/>
          <w:sz w:val="32"/>
          <w:szCs w:val="32"/>
        </w:rPr>
        <w:t>5mg</w:t>
      </w: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）中度肝功能损伤（</w:t>
      </w:r>
      <w:r>
        <w:rPr>
          <w:rFonts w:ascii="仿宋" w:eastAsia="仿宋" w:hAnsi="仿宋" w:cs="仿宋"/>
          <w:sz w:val="32"/>
          <w:szCs w:val="32"/>
        </w:rPr>
        <w:t>Child-Pugh B</w:t>
      </w:r>
      <w:r>
        <w:rPr>
          <w:rFonts w:ascii="仿宋" w:eastAsia="仿宋" w:hAnsi="仿宋" w:cs="仿宋" w:hint="eastAsia"/>
          <w:sz w:val="32"/>
          <w:szCs w:val="32"/>
        </w:rPr>
        <w:t>级）：推荐剂量是每天</w:t>
      </w:r>
      <w:r>
        <w:rPr>
          <w:rFonts w:ascii="仿宋" w:eastAsia="仿宋" w:hAnsi="仿宋" w:cs="仿宋"/>
          <w:sz w:val="32"/>
          <w:szCs w:val="32"/>
        </w:rPr>
        <w:t>5mg</w:t>
      </w:r>
      <w:r>
        <w:rPr>
          <w:rFonts w:ascii="仿宋" w:eastAsia="仿宋" w:hAnsi="仿宋" w:cs="仿宋" w:hint="eastAsia"/>
          <w:sz w:val="32"/>
          <w:szCs w:val="32"/>
        </w:rPr>
        <w:t>；如果不能很好地耐受，可将剂量降至每天</w:t>
      </w:r>
      <w:r>
        <w:rPr>
          <w:rFonts w:ascii="仿宋" w:eastAsia="仿宋" w:hAnsi="仿宋" w:cs="仿宋"/>
          <w:sz w:val="32"/>
          <w:szCs w:val="32"/>
        </w:rPr>
        <w:t>2.5mg</w:t>
      </w: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）重度肝功能损伤（</w:t>
      </w:r>
      <w:r>
        <w:rPr>
          <w:rFonts w:ascii="仿宋" w:eastAsia="仿宋" w:hAnsi="仿宋" w:cs="仿宋"/>
          <w:sz w:val="32"/>
          <w:szCs w:val="32"/>
        </w:rPr>
        <w:t>Child-Pugh C</w:t>
      </w:r>
      <w:r>
        <w:rPr>
          <w:rFonts w:ascii="仿宋" w:eastAsia="仿宋" w:hAnsi="仿宋" w:cs="仿宋" w:hint="eastAsia"/>
          <w:sz w:val="32"/>
          <w:szCs w:val="32"/>
        </w:rPr>
        <w:t>级）：如果预期的获益高于风险，可以采用每天</w:t>
      </w:r>
      <w:r>
        <w:rPr>
          <w:rFonts w:ascii="仿宋" w:eastAsia="仿宋" w:hAnsi="仿宋" w:cs="仿宋"/>
          <w:sz w:val="32"/>
          <w:szCs w:val="32"/>
        </w:rPr>
        <w:t>2.5mg</w:t>
      </w:r>
      <w:r>
        <w:rPr>
          <w:rFonts w:ascii="仿宋" w:eastAsia="仿宋" w:hAnsi="仿宋" w:cs="仿宋" w:hint="eastAsia"/>
          <w:sz w:val="32"/>
          <w:szCs w:val="32"/>
        </w:rPr>
        <w:t>，但不得超过这一剂量。</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用药期间必须注意常见的口腔炎等；应特别注意非感染性肺炎的发生。</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避免合并使用强效</w:t>
      </w:r>
      <w:r>
        <w:rPr>
          <w:rFonts w:ascii="仿宋" w:eastAsia="仿宋" w:hAnsi="仿宋" w:cs="仿宋"/>
          <w:sz w:val="32"/>
          <w:szCs w:val="32"/>
        </w:rPr>
        <w:t>CYP3A4</w:t>
      </w:r>
      <w:r>
        <w:rPr>
          <w:rFonts w:ascii="仿宋" w:eastAsia="仿宋" w:hAnsi="仿宋" w:cs="仿宋" w:hint="eastAsia"/>
          <w:sz w:val="32"/>
          <w:szCs w:val="32"/>
        </w:rPr>
        <w:t>诱导剂。</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在本品治疗期间应避免接种活疫苗，避免与接种过活疫苗的人密切接触。</w:t>
      </w:r>
    </w:p>
    <w:p w:rsidR="00B23A40" w:rsidRDefault="00DD1A0D">
      <w:pPr>
        <w:spacing w:line="360" w:lineRule="auto"/>
        <w:ind w:firstLineChars="200" w:firstLine="640"/>
        <w:rPr>
          <w:rFonts w:ascii="黑体" w:eastAsia="黑体" w:hAnsi="黑体" w:cs="Times New Roman"/>
          <w:sz w:val="32"/>
          <w:szCs w:val="32"/>
          <w:lang w:val="fr-FR"/>
        </w:rPr>
      </w:pPr>
      <w:r>
        <w:rPr>
          <w:rFonts w:ascii="黑体" w:eastAsia="黑体" w:hAnsi="黑体" w:cs="黑体" w:hint="eastAsia"/>
          <w:sz w:val="32"/>
          <w:szCs w:val="32"/>
        </w:rPr>
        <w:t>二、索拉非尼 s</w:t>
      </w:r>
      <w:r>
        <w:rPr>
          <w:rFonts w:ascii="黑体" w:eastAsia="黑体" w:hAnsi="黑体" w:cs="黑体"/>
          <w:sz w:val="32"/>
          <w:szCs w:val="32"/>
        </w:rPr>
        <w:t>orafenib</w:t>
      </w:r>
    </w:p>
    <w:p w:rsidR="00B23A40" w:rsidRDefault="00DD1A0D">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片剂：</w:t>
      </w:r>
      <w:r>
        <w:rPr>
          <w:rFonts w:ascii="仿宋" w:eastAsia="仿宋" w:hAnsi="仿宋" w:cs="仿宋"/>
          <w:sz w:val="32"/>
          <w:szCs w:val="32"/>
        </w:rPr>
        <w:t xml:space="preserve">200mg </w:t>
      </w:r>
    </w:p>
    <w:p w:rsidR="00B23A40" w:rsidRDefault="00DD1A0D">
      <w:pPr>
        <w:autoSpaceDE w:val="0"/>
        <w:autoSpaceDN w:val="0"/>
        <w:adjustRightInd w:val="0"/>
        <w:spacing w:line="360" w:lineRule="auto"/>
        <w:ind w:firstLineChars="200" w:firstLine="643"/>
        <w:textAlignment w:val="center"/>
        <w:rPr>
          <w:rFonts w:ascii="仿宋" w:eastAsia="仿宋" w:hAnsi="仿宋" w:cs="Times New Roman"/>
          <w:b/>
          <w:bCs/>
          <w:color w:val="000000"/>
          <w:spacing w:val="3"/>
          <w:kern w:val="0"/>
          <w:sz w:val="32"/>
          <w:szCs w:val="32"/>
        </w:rPr>
      </w:pPr>
      <w:r>
        <w:rPr>
          <w:rFonts w:ascii="仿宋" w:eastAsia="仿宋" w:hAnsi="仿宋" w:cs="仿宋" w:hint="eastAsia"/>
          <w:b/>
          <w:bCs/>
          <w:sz w:val="32"/>
          <w:szCs w:val="32"/>
        </w:rPr>
        <w:t>适应证：</w:t>
      </w:r>
      <w:r>
        <w:rPr>
          <w:rFonts w:ascii="仿宋" w:eastAsia="仿宋" w:hAnsi="仿宋" w:cs="仿宋" w:hint="eastAsia"/>
          <w:color w:val="000000"/>
          <w:sz w:val="32"/>
          <w:szCs w:val="32"/>
        </w:rPr>
        <w:t>转移性肾癌。</w:t>
      </w:r>
    </w:p>
    <w:p w:rsidR="00B23A40" w:rsidRDefault="00DD1A0D">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空腹给药，用药前无需进行基因检测。</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存在可疑的药物不良反应时，可能需要暂停和</w:t>
      </w:r>
      <w:r>
        <w:rPr>
          <w:rFonts w:ascii="仿宋" w:eastAsia="仿宋" w:hAnsi="仿宋" w:cs="仿宋"/>
          <w:sz w:val="32"/>
          <w:szCs w:val="32"/>
        </w:rPr>
        <w:t>/</w:t>
      </w:r>
      <w:r>
        <w:rPr>
          <w:rFonts w:ascii="仿宋" w:eastAsia="仿宋" w:hAnsi="仿宋" w:cs="仿宋" w:hint="eastAsia"/>
          <w:sz w:val="32"/>
          <w:szCs w:val="32"/>
        </w:rPr>
        <w:t>或减少索拉非尼剂量。</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lastRenderedPageBreak/>
        <w:t>3.</w:t>
      </w:r>
      <w:r>
        <w:rPr>
          <w:rFonts w:ascii="仿宋" w:eastAsia="仿宋" w:hAnsi="仿宋" w:cs="仿宋" w:hint="eastAsia"/>
          <w:sz w:val="32"/>
          <w:szCs w:val="32"/>
        </w:rPr>
        <w:t>最常见的不良反应有腹泻，乏力，脱发，感染，手足皮肤反应，皮疹。避免应用</w:t>
      </w:r>
      <w:r>
        <w:rPr>
          <w:rFonts w:ascii="仿宋" w:eastAsia="仿宋" w:hAnsi="仿宋" w:cs="仿宋"/>
          <w:sz w:val="32"/>
          <w:szCs w:val="32"/>
        </w:rPr>
        <w:t>CYP3A4</w:t>
      </w:r>
      <w:r>
        <w:rPr>
          <w:rFonts w:ascii="仿宋" w:eastAsia="仿宋" w:hAnsi="仿宋" w:cs="仿宋" w:hint="eastAsia"/>
          <w:sz w:val="32"/>
          <w:szCs w:val="32"/>
        </w:rPr>
        <w:t>强效抑制剂和强效诱导剂。</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对索拉非尼或本品任一非活性成分有严重过敏症状的患者禁用。</w:t>
      </w:r>
    </w:p>
    <w:p w:rsidR="00B23A40" w:rsidRDefault="00DD1A0D">
      <w:pPr>
        <w:spacing w:line="360" w:lineRule="auto"/>
        <w:ind w:firstLineChars="200" w:firstLine="640"/>
        <w:rPr>
          <w:rFonts w:ascii="黑体" w:eastAsia="黑体" w:hAnsi="黑体" w:cs="Times New Roman"/>
          <w:sz w:val="32"/>
          <w:szCs w:val="32"/>
          <w:lang w:val="fr-FR"/>
        </w:rPr>
      </w:pPr>
      <w:r>
        <w:rPr>
          <w:rFonts w:ascii="黑体" w:eastAsia="黑体" w:hAnsi="黑体" w:cs="黑体" w:hint="eastAsia"/>
          <w:sz w:val="32"/>
          <w:szCs w:val="32"/>
          <w:lang w:val="fr-FR"/>
        </w:rPr>
        <w:t>三、</w:t>
      </w:r>
      <w:r>
        <w:rPr>
          <w:rFonts w:ascii="黑体" w:eastAsia="黑体" w:hAnsi="黑体" w:cs="黑体" w:hint="eastAsia"/>
          <w:sz w:val="32"/>
          <w:szCs w:val="32"/>
        </w:rPr>
        <w:t xml:space="preserve">舒尼替尼 </w:t>
      </w:r>
      <w:r>
        <w:rPr>
          <w:rFonts w:ascii="黑体" w:eastAsia="黑体" w:hAnsi="黑体" w:cs="黑体"/>
          <w:sz w:val="32"/>
          <w:szCs w:val="32"/>
        </w:rPr>
        <w:t>sunitinib</w:t>
      </w:r>
    </w:p>
    <w:p w:rsidR="00B23A40" w:rsidRDefault="00DD1A0D">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胶囊：</w:t>
      </w:r>
      <w:r>
        <w:rPr>
          <w:rFonts w:ascii="仿宋" w:eastAsia="仿宋" w:hAnsi="仿宋" w:cs="仿宋"/>
          <w:sz w:val="32"/>
          <w:szCs w:val="32"/>
        </w:rPr>
        <w:t xml:space="preserve">12.5mg </w:t>
      </w:r>
    </w:p>
    <w:p w:rsidR="00B23A40" w:rsidRDefault="00DD1A0D">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rPr>
        <w:t>适应证：</w:t>
      </w:r>
      <w:r>
        <w:rPr>
          <w:rFonts w:ascii="仿宋" w:eastAsia="仿宋" w:hAnsi="仿宋" w:cs="仿宋" w:hint="eastAsia"/>
          <w:sz w:val="32"/>
          <w:szCs w:val="32"/>
        </w:rPr>
        <w:t>转移性肾癌。</w:t>
      </w:r>
    </w:p>
    <w:p w:rsidR="00B23A40" w:rsidRDefault="00DD1A0D">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推荐剂量为</w:t>
      </w:r>
      <w:r>
        <w:rPr>
          <w:rFonts w:ascii="仿宋" w:eastAsia="仿宋" w:hAnsi="仿宋" w:cs="仿宋"/>
          <w:sz w:val="32"/>
          <w:szCs w:val="32"/>
        </w:rPr>
        <w:t>50mg</w:t>
      </w:r>
      <w:r>
        <w:rPr>
          <w:rFonts w:ascii="仿宋" w:eastAsia="仿宋" w:hAnsi="仿宋" w:cs="仿宋" w:hint="eastAsia"/>
          <w:sz w:val="32"/>
          <w:szCs w:val="32"/>
        </w:rPr>
        <w:t>，每日一次，口服，服药</w:t>
      </w:r>
      <w:r>
        <w:rPr>
          <w:rFonts w:ascii="仿宋" w:eastAsia="仿宋" w:hAnsi="仿宋" w:cs="仿宋"/>
          <w:sz w:val="32"/>
          <w:szCs w:val="32"/>
        </w:rPr>
        <w:t>4</w:t>
      </w:r>
      <w:r>
        <w:rPr>
          <w:rFonts w:ascii="仿宋" w:eastAsia="仿宋" w:hAnsi="仿宋" w:cs="仿宋" w:hint="eastAsia"/>
          <w:sz w:val="32"/>
          <w:szCs w:val="32"/>
        </w:rPr>
        <w:t>周，停药</w:t>
      </w:r>
      <w:r>
        <w:rPr>
          <w:rFonts w:ascii="仿宋" w:eastAsia="仿宋" w:hAnsi="仿宋" w:cs="仿宋"/>
          <w:sz w:val="32"/>
          <w:szCs w:val="32"/>
        </w:rPr>
        <w:t>2</w:t>
      </w:r>
      <w:r>
        <w:rPr>
          <w:rFonts w:ascii="仿宋" w:eastAsia="仿宋" w:hAnsi="仿宋" w:cs="仿宋" w:hint="eastAsia"/>
          <w:sz w:val="32"/>
          <w:szCs w:val="32"/>
        </w:rPr>
        <w:t>周（</w:t>
      </w:r>
      <w:r>
        <w:rPr>
          <w:rFonts w:ascii="仿宋" w:eastAsia="仿宋" w:hAnsi="仿宋" w:cs="仿宋"/>
          <w:sz w:val="32"/>
          <w:szCs w:val="32"/>
        </w:rPr>
        <w:t>4/2</w:t>
      </w:r>
      <w:r>
        <w:rPr>
          <w:rFonts w:ascii="仿宋" w:eastAsia="仿宋" w:hAnsi="仿宋" w:cs="仿宋" w:hint="eastAsia"/>
          <w:sz w:val="32"/>
          <w:szCs w:val="32"/>
        </w:rPr>
        <w:t>给药方案）。</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根据患者个体的安全性和耐受性，以</w:t>
      </w:r>
      <w:r>
        <w:rPr>
          <w:rFonts w:ascii="仿宋" w:eastAsia="仿宋" w:hAnsi="仿宋" w:cs="仿宋"/>
          <w:sz w:val="32"/>
          <w:szCs w:val="32"/>
        </w:rPr>
        <w:t>12.5mg</w:t>
      </w:r>
      <w:r>
        <w:rPr>
          <w:rFonts w:ascii="仿宋" w:eastAsia="仿宋" w:hAnsi="仿宋" w:cs="仿宋" w:hint="eastAsia"/>
          <w:sz w:val="32"/>
          <w:szCs w:val="32"/>
        </w:rPr>
        <w:t>为梯度单位逐步调整剂量。每日最高剂量不超过</w:t>
      </w:r>
      <w:r>
        <w:rPr>
          <w:rFonts w:ascii="仿宋" w:eastAsia="仿宋" w:hAnsi="仿宋" w:cs="仿宋"/>
          <w:sz w:val="32"/>
          <w:szCs w:val="32"/>
        </w:rPr>
        <w:t>75mg</w:t>
      </w:r>
      <w:r>
        <w:rPr>
          <w:rFonts w:ascii="仿宋" w:eastAsia="仿宋" w:hAnsi="仿宋" w:cs="仿宋" w:hint="eastAsia"/>
          <w:sz w:val="32"/>
          <w:szCs w:val="32"/>
        </w:rPr>
        <w:t>，最低剂量为</w:t>
      </w:r>
      <w:r>
        <w:rPr>
          <w:rFonts w:ascii="仿宋" w:eastAsia="仿宋" w:hAnsi="仿宋" w:cs="仿宋"/>
          <w:w w:val="96"/>
          <w:sz w:val="32"/>
          <w:szCs w:val="32"/>
        </w:rPr>
        <w:t>25mg</w:t>
      </w:r>
      <w:r>
        <w:rPr>
          <w:rFonts w:ascii="仿宋" w:eastAsia="仿宋" w:hAnsi="仿宋" w:cs="仿宋" w:hint="eastAsia"/>
          <w:w w:val="96"/>
          <w:sz w:val="32"/>
          <w:szCs w:val="32"/>
        </w:rPr>
        <w:t>。根据患者个体的安全性和耐受性情况可能需要中断治疗。</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避免与强效</w:t>
      </w:r>
      <w:r>
        <w:rPr>
          <w:rFonts w:ascii="仿宋" w:eastAsia="仿宋" w:hAnsi="仿宋" w:cs="仿宋"/>
          <w:sz w:val="32"/>
          <w:szCs w:val="32"/>
        </w:rPr>
        <w:t>CYP3A4/5</w:t>
      </w:r>
      <w:r>
        <w:rPr>
          <w:rFonts w:ascii="仿宋" w:eastAsia="仿宋" w:hAnsi="仿宋" w:cs="仿宋" w:hint="eastAsia"/>
          <w:sz w:val="32"/>
          <w:szCs w:val="32"/>
        </w:rPr>
        <w:t>抑制剂或强效</w:t>
      </w:r>
      <w:r>
        <w:rPr>
          <w:rFonts w:ascii="仿宋" w:eastAsia="仿宋" w:hAnsi="仿宋" w:cs="仿宋"/>
          <w:sz w:val="32"/>
          <w:szCs w:val="32"/>
        </w:rPr>
        <w:t>CYP3A4/5</w:t>
      </w:r>
      <w:r>
        <w:rPr>
          <w:rFonts w:ascii="仿宋" w:eastAsia="仿宋" w:hAnsi="仿宋" w:cs="仿宋" w:hint="eastAsia"/>
          <w:sz w:val="32"/>
          <w:szCs w:val="32"/>
        </w:rPr>
        <w:t>诱导剂合用。</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舒尼替尼服用</w:t>
      </w:r>
      <w:r>
        <w:rPr>
          <w:rFonts w:ascii="仿宋" w:eastAsia="仿宋" w:hAnsi="仿宋" w:cs="仿宋"/>
          <w:sz w:val="32"/>
          <w:szCs w:val="32"/>
        </w:rPr>
        <w:t>4</w:t>
      </w:r>
      <w:r>
        <w:rPr>
          <w:rFonts w:ascii="仿宋" w:eastAsia="仿宋" w:hAnsi="仿宋" w:cs="仿宋" w:hint="eastAsia"/>
          <w:sz w:val="32"/>
          <w:szCs w:val="32"/>
        </w:rPr>
        <w:t>周，停药</w:t>
      </w:r>
      <w:r>
        <w:rPr>
          <w:rFonts w:ascii="仿宋" w:eastAsia="仿宋" w:hAnsi="仿宋" w:cs="仿宋"/>
          <w:sz w:val="32"/>
          <w:szCs w:val="32"/>
        </w:rPr>
        <w:t>2</w:t>
      </w:r>
      <w:r>
        <w:rPr>
          <w:rFonts w:ascii="仿宋" w:eastAsia="仿宋" w:hAnsi="仿宋" w:cs="仿宋" w:hint="eastAsia"/>
          <w:sz w:val="32"/>
          <w:szCs w:val="32"/>
        </w:rPr>
        <w:t>周（</w:t>
      </w:r>
      <w:r>
        <w:rPr>
          <w:rFonts w:ascii="仿宋" w:eastAsia="仿宋" w:hAnsi="仿宋" w:cs="仿宋"/>
          <w:sz w:val="32"/>
          <w:szCs w:val="32"/>
        </w:rPr>
        <w:t>4/2</w:t>
      </w:r>
      <w:r>
        <w:rPr>
          <w:rFonts w:ascii="仿宋" w:eastAsia="仿宋" w:hAnsi="仿宋" w:cs="仿宋" w:hint="eastAsia"/>
          <w:sz w:val="32"/>
          <w:szCs w:val="32"/>
        </w:rPr>
        <w:t>给药方案）可能会发现白细胞及血小板下降等严重骨髓抑制，因此用药期间需要密切监测血常规。必要时可采用</w:t>
      </w:r>
      <w:r>
        <w:rPr>
          <w:rFonts w:ascii="仿宋" w:eastAsia="仿宋" w:hAnsi="仿宋" w:cs="仿宋"/>
          <w:sz w:val="32"/>
          <w:szCs w:val="32"/>
        </w:rPr>
        <w:t>2/1</w:t>
      </w:r>
      <w:r>
        <w:rPr>
          <w:rFonts w:ascii="仿宋" w:eastAsia="仿宋" w:hAnsi="仿宋" w:cs="仿宋" w:hint="eastAsia"/>
          <w:sz w:val="32"/>
          <w:szCs w:val="32"/>
        </w:rPr>
        <w:t>给药方案，即舒尼替尼服用</w:t>
      </w:r>
      <w:r>
        <w:rPr>
          <w:rFonts w:ascii="仿宋" w:eastAsia="仿宋" w:hAnsi="仿宋" w:cs="仿宋"/>
          <w:sz w:val="32"/>
          <w:szCs w:val="32"/>
        </w:rPr>
        <w:t>2</w:t>
      </w:r>
      <w:r>
        <w:rPr>
          <w:rFonts w:ascii="仿宋" w:eastAsia="仿宋" w:hAnsi="仿宋" w:cs="仿宋" w:hint="eastAsia"/>
          <w:sz w:val="32"/>
          <w:szCs w:val="32"/>
        </w:rPr>
        <w:t>周，停药</w:t>
      </w:r>
      <w:r>
        <w:rPr>
          <w:rFonts w:ascii="仿宋" w:eastAsia="仿宋" w:hAnsi="仿宋" w:cs="仿宋"/>
          <w:sz w:val="32"/>
          <w:szCs w:val="32"/>
        </w:rPr>
        <w:t>1</w:t>
      </w:r>
      <w:r>
        <w:rPr>
          <w:rFonts w:ascii="仿宋" w:eastAsia="仿宋" w:hAnsi="仿宋" w:cs="仿宋" w:hint="eastAsia"/>
          <w:sz w:val="32"/>
          <w:szCs w:val="32"/>
        </w:rPr>
        <w:t>周。</w:t>
      </w:r>
    </w:p>
    <w:p w:rsidR="00B23A40" w:rsidRDefault="00DD1A0D">
      <w:pPr>
        <w:spacing w:line="360" w:lineRule="auto"/>
        <w:ind w:firstLineChars="200" w:firstLine="640"/>
        <w:rPr>
          <w:rFonts w:ascii="黑体" w:eastAsia="黑体" w:hAnsi="黑体" w:cs="Times New Roman"/>
          <w:sz w:val="32"/>
          <w:szCs w:val="32"/>
          <w:lang w:val="fr-FR"/>
        </w:rPr>
      </w:pPr>
      <w:r>
        <w:rPr>
          <w:rFonts w:ascii="黑体" w:eastAsia="黑体" w:hAnsi="黑体" w:cs="黑体" w:hint="eastAsia"/>
          <w:sz w:val="32"/>
          <w:szCs w:val="32"/>
          <w:lang w:val="fr-FR"/>
        </w:rPr>
        <w:t>四、</w:t>
      </w:r>
      <w:r>
        <w:rPr>
          <w:rFonts w:ascii="黑体" w:eastAsia="黑体" w:hAnsi="黑体" w:cs="黑体" w:hint="eastAsia"/>
          <w:sz w:val="32"/>
          <w:szCs w:val="32"/>
        </w:rPr>
        <w:t>阿昔替尼 a</w:t>
      </w:r>
      <w:r>
        <w:rPr>
          <w:rFonts w:ascii="黑体" w:eastAsia="黑体" w:hAnsi="黑体" w:cs="黑体"/>
          <w:sz w:val="32"/>
          <w:szCs w:val="32"/>
        </w:rPr>
        <w:t>xitinib</w:t>
      </w:r>
    </w:p>
    <w:p w:rsidR="00B23A40" w:rsidRDefault="00DD1A0D">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片剂：</w:t>
      </w:r>
      <w:r>
        <w:rPr>
          <w:rFonts w:ascii="仿宋" w:eastAsia="仿宋" w:hAnsi="仿宋" w:cs="仿宋"/>
          <w:sz w:val="32"/>
          <w:szCs w:val="32"/>
        </w:rPr>
        <w:t>1mg</w:t>
      </w:r>
      <w:r>
        <w:rPr>
          <w:rFonts w:ascii="仿宋" w:eastAsia="仿宋" w:hAnsi="仿宋" w:cs="仿宋" w:hint="eastAsia"/>
          <w:sz w:val="32"/>
          <w:szCs w:val="32"/>
        </w:rPr>
        <w:t>、</w:t>
      </w:r>
      <w:r>
        <w:rPr>
          <w:rFonts w:ascii="仿宋" w:eastAsia="仿宋" w:hAnsi="仿宋" w:cs="仿宋"/>
          <w:sz w:val="32"/>
          <w:szCs w:val="32"/>
        </w:rPr>
        <w:t xml:space="preserve">5mg </w:t>
      </w:r>
    </w:p>
    <w:p w:rsidR="00B23A40" w:rsidRDefault="00DD1A0D">
      <w:pPr>
        <w:spacing w:line="360" w:lineRule="auto"/>
        <w:ind w:firstLineChars="200" w:firstLine="643"/>
        <w:rPr>
          <w:rFonts w:ascii="仿宋" w:eastAsia="仿宋" w:hAnsi="仿宋" w:cs="仿宋"/>
          <w:b/>
          <w:bCs/>
          <w:sz w:val="32"/>
          <w:szCs w:val="32"/>
        </w:rPr>
      </w:pPr>
      <w:r>
        <w:rPr>
          <w:rFonts w:ascii="仿宋" w:eastAsia="仿宋" w:hAnsi="仿宋" w:cs="仿宋" w:hint="eastAsia"/>
          <w:b/>
          <w:bCs/>
          <w:sz w:val="32"/>
          <w:szCs w:val="32"/>
        </w:rPr>
        <w:lastRenderedPageBreak/>
        <w:t>适应证：</w:t>
      </w:r>
    </w:p>
    <w:p w:rsidR="00B23A40" w:rsidRDefault="00DD1A0D">
      <w:pPr>
        <w:spacing w:line="360" w:lineRule="auto"/>
        <w:ind w:firstLineChars="200" w:firstLine="640"/>
        <w:rPr>
          <w:rFonts w:ascii="仿宋" w:eastAsia="仿宋" w:hAnsi="仿宋" w:cs="仿宋"/>
          <w:sz w:val="32"/>
          <w:szCs w:val="32"/>
        </w:rPr>
      </w:pPr>
      <w:r>
        <w:rPr>
          <w:rFonts w:ascii="仿宋" w:eastAsia="仿宋" w:hAnsi="仿宋" w:cs="仿宋" w:hint="eastAsia"/>
          <w:bCs/>
          <w:sz w:val="32"/>
          <w:szCs w:val="32"/>
        </w:rPr>
        <w:t>1.</w:t>
      </w:r>
      <w:r>
        <w:rPr>
          <w:rFonts w:ascii="仿宋" w:eastAsia="仿宋" w:hAnsi="仿宋" w:cs="仿宋" w:hint="eastAsia"/>
          <w:sz w:val="32"/>
          <w:szCs w:val="32"/>
        </w:rPr>
        <w:t>用于既往接受过一种酪氨酸激酶抑制剂或细胞因子治疗失败的进展期</w:t>
      </w:r>
      <w:r>
        <w:rPr>
          <w:rFonts w:ascii="仿宋" w:eastAsia="仿宋" w:hAnsi="仿宋" w:cs="仿宋" w:hint="eastAsia"/>
          <w:color w:val="000000"/>
          <w:sz w:val="32"/>
          <w:szCs w:val="32"/>
        </w:rPr>
        <w:t>肾细胞癌（</w:t>
      </w:r>
      <w:r>
        <w:rPr>
          <w:rFonts w:ascii="仿宋" w:eastAsia="仿宋" w:hAnsi="仿宋" w:cs="仿宋"/>
          <w:sz w:val="32"/>
          <w:szCs w:val="32"/>
        </w:rPr>
        <w:t>RCC</w:t>
      </w:r>
      <w:r>
        <w:rPr>
          <w:rFonts w:ascii="仿宋" w:eastAsia="仿宋" w:hAnsi="仿宋" w:cs="仿宋" w:hint="eastAsia"/>
          <w:sz w:val="32"/>
          <w:szCs w:val="32"/>
        </w:rPr>
        <w:t>）的成人患者。</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2</w:t>
      </w:r>
      <w:r>
        <w:rPr>
          <w:rFonts w:ascii="仿宋" w:eastAsia="仿宋" w:hAnsi="仿宋" w:cs="仿宋"/>
          <w:sz w:val="32"/>
          <w:szCs w:val="32"/>
        </w:rPr>
        <w:t>.</w:t>
      </w:r>
      <w:r>
        <w:rPr>
          <w:rFonts w:ascii="仿宋" w:eastAsia="仿宋" w:hAnsi="仿宋" w:hint="eastAsia"/>
          <w:color w:val="000000"/>
          <w:sz w:val="32"/>
          <w:szCs w:val="32"/>
        </w:rPr>
        <w:t>联合帕博利珠单抗适用于晚期肾透明细胞癌的一线治疗。</w:t>
      </w:r>
    </w:p>
    <w:p w:rsidR="00B23A40" w:rsidRDefault="00DD1A0D">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hint="eastAsia"/>
          <w:bCs/>
          <w:sz w:val="32"/>
          <w:szCs w:val="32"/>
        </w:rPr>
        <w:t>1.</w:t>
      </w:r>
      <w:r>
        <w:rPr>
          <w:rFonts w:ascii="仿宋" w:eastAsia="仿宋" w:hAnsi="仿宋" w:cs="仿宋" w:hint="eastAsia"/>
          <w:sz w:val="32"/>
          <w:szCs w:val="32"/>
        </w:rPr>
        <w:t>阿昔替尼推荐的起始口服剂量为</w:t>
      </w:r>
      <w:r>
        <w:rPr>
          <w:rFonts w:ascii="仿宋" w:eastAsia="仿宋" w:hAnsi="仿宋" w:cs="仿宋"/>
          <w:sz w:val="32"/>
          <w:szCs w:val="32"/>
        </w:rPr>
        <w:t>5mg</w:t>
      </w:r>
      <w:r>
        <w:rPr>
          <w:rFonts w:ascii="仿宋" w:eastAsia="仿宋" w:hAnsi="仿宋" w:cs="仿宋" w:hint="eastAsia"/>
          <w:sz w:val="32"/>
          <w:szCs w:val="32"/>
        </w:rPr>
        <w:t>，每日两次，可与食物同服或空腹给药，每日两次给药的时间间隔约为</w:t>
      </w:r>
      <w:r>
        <w:rPr>
          <w:rFonts w:ascii="仿宋" w:eastAsia="仿宋" w:hAnsi="仿宋" w:cs="仿宋"/>
          <w:sz w:val="32"/>
          <w:szCs w:val="32"/>
        </w:rPr>
        <w:t>12</w:t>
      </w:r>
      <w:r>
        <w:rPr>
          <w:rFonts w:ascii="仿宋" w:eastAsia="仿宋" w:hAnsi="仿宋" w:cs="仿宋" w:hint="eastAsia"/>
          <w:sz w:val="32"/>
          <w:szCs w:val="32"/>
        </w:rPr>
        <w:t>小时。只要观察到临床获益，就应继续治疗直至发生不能接受的毒性。如果患者呕吐或漏服一次剂量，不应另外服用一次剂量，应按常规服用下一次剂量。</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建议根据患者安全性和耐受性的个体差异增加或降低剂量：（</w:t>
      </w:r>
      <w:r>
        <w:rPr>
          <w:rFonts w:ascii="仿宋" w:eastAsia="仿宋" w:hAnsi="仿宋" w:cs="仿宋"/>
          <w:sz w:val="32"/>
          <w:szCs w:val="32"/>
        </w:rPr>
        <w:t>1</w:t>
      </w:r>
      <w:r>
        <w:rPr>
          <w:rFonts w:ascii="仿宋" w:eastAsia="仿宋" w:hAnsi="仿宋" w:cs="仿宋" w:hint="eastAsia"/>
          <w:sz w:val="32"/>
          <w:szCs w:val="32"/>
        </w:rPr>
        <w:t>）在治疗过程中，满足下述标准的患者可增加剂量：能耐受阿昔替尼至少两周连续治疗、未出现</w:t>
      </w:r>
      <w:r>
        <w:rPr>
          <w:rFonts w:ascii="仿宋" w:eastAsia="仿宋" w:hAnsi="仿宋" w:cs="仿宋"/>
          <w:sz w:val="32"/>
          <w:szCs w:val="32"/>
        </w:rPr>
        <w:t>2</w:t>
      </w:r>
      <w:r>
        <w:rPr>
          <w:rFonts w:ascii="仿宋" w:eastAsia="仿宋" w:hAnsi="仿宋" w:cs="仿宋" w:hint="eastAsia"/>
          <w:sz w:val="32"/>
          <w:szCs w:val="32"/>
        </w:rPr>
        <w:t>级以上不良反应、血压正常、未接受降压药物治疗。当推荐从</w:t>
      </w:r>
      <w:r>
        <w:rPr>
          <w:rFonts w:ascii="仿宋" w:eastAsia="仿宋" w:hAnsi="仿宋" w:cs="仿宋"/>
          <w:sz w:val="32"/>
          <w:szCs w:val="32"/>
        </w:rPr>
        <w:t>5mg</w:t>
      </w:r>
      <w:r>
        <w:rPr>
          <w:rFonts w:ascii="仿宋" w:eastAsia="仿宋" w:hAnsi="仿宋" w:cs="仿宋" w:hint="eastAsia"/>
          <w:sz w:val="32"/>
          <w:szCs w:val="32"/>
        </w:rPr>
        <w:t>，每日两次开始增加剂量时，可将阿昔替尼剂量增加至</w:t>
      </w:r>
      <w:r>
        <w:rPr>
          <w:rFonts w:ascii="仿宋" w:eastAsia="仿宋" w:hAnsi="仿宋" w:cs="仿宋"/>
          <w:sz w:val="32"/>
          <w:szCs w:val="32"/>
        </w:rPr>
        <w:t>7mg</w:t>
      </w:r>
      <w:r>
        <w:rPr>
          <w:rFonts w:ascii="仿宋" w:eastAsia="仿宋" w:hAnsi="仿宋" w:cs="仿宋" w:hint="eastAsia"/>
          <w:sz w:val="32"/>
          <w:szCs w:val="32"/>
        </w:rPr>
        <w:t>，每日两次，然后采用相同标准，进一步将剂量增加至</w:t>
      </w:r>
      <w:r>
        <w:rPr>
          <w:rFonts w:ascii="仿宋" w:eastAsia="仿宋" w:hAnsi="仿宋" w:cs="仿宋"/>
          <w:sz w:val="32"/>
          <w:szCs w:val="32"/>
        </w:rPr>
        <w:t>10mg</w:t>
      </w:r>
      <w:r>
        <w:rPr>
          <w:rFonts w:ascii="仿宋" w:eastAsia="仿宋" w:hAnsi="仿宋" w:cs="仿宋" w:hint="eastAsia"/>
          <w:sz w:val="32"/>
          <w:szCs w:val="32"/>
        </w:rPr>
        <w:t>，每日两次。（</w:t>
      </w:r>
      <w:r>
        <w:rPr>
          <w:rFonts w:ascii="仿宋" w:eastAsia="仿宋" w:hAnsi="仿宋" w:cs="仿宋"/>
          <w:sz w:val="32"/>
          <w:szCs w:val="32"/>
        </w:rPr>
        <w:t>2</w:t>
      </w:r>
      <w:r>
        <w:rPr>
          <w:rFonts w:ascii="仿宋" w:eastAsia="仿宋" w:hAnsi="仿宋" w:cs="仿宋" w:hint="eastAsia"/>
          <w:sz w:val="32"/>
          <w:szCs w:val="32"/>
        </w:rPr>
        <w:t>）在治疗过程中，可能需要暂停或永久终止给药，或降低阿昔替尼剂量。如果需要从</w:t>
      </w:r>
      <w:r>
        <w:rPr>
          <w:rFonts w:ascii="仿宋" w:eastAsia="仿宋" w:hAnsi="仿宋" w:cs="仿宋"/>
          <w:sz w:val="32"/>
          <w:szCs w:val="32"/>
        </w:rPr>
        <w:t>5mg</w:t>
      </w:r>
      <w:r>
        <w:rPr>
          <w:rFonts w:ascii="仿宋" w:eastAsia="仿宋" w:hAnsi="仿宋" w:cs="仿宋" w:hint="eastAsia"/>
          <w:sz w:val="32"/>
          <w:szCs w:val="32"/>
        </w:rPr>
        <w:t>，每日两次开始减量，则推荐剂量为</w:t>
      </w:r>
      <w:r>
        <w:rPr>
          <w:rFonts w:ascii="仿宋" w:eastAsia="仿宋" w:hAnsi="仿宋" w:cs="仿宋"/>
          <w:sz w:val="32"/>
          <w:szCs w:val="32"/>
        </w:rPr>
        <w:t>3mg</w:t>
      </w:r>
      <w:r>
        <w:rPr>
          <w:rFonts w:ascii="仿宋" w:eastAsia="仿宋" w:hAnsi="仿宋" w:cs="仿宋" w:hint="eastAsia"/>
          <w:sz w:val="32"/>
          <w:szCs w:val="32"/>
        </w:rPr>
        <w:t>，每日两次。如果需要再次减量，则推荐剂量为</w:t>
      </w:r>
      <w:r>
        <w:rPr>
          <w:rFonts w:ascii="仿宋" w:eastAsia="仿宋" w:hAnsi="仿宋" w:cs="仿宋"/>
          <w:sz w:val="32"/>
          <w:szCs w:val="32"/>
        </w:rPr>
        <w:t>2mg</w:t>
      </w:r>
      <w:r>
        <w:rPr>
          <w:rFonts w:ascii="仿宋" w:eastAsia="仿宋" w:hAnsi="仿宋" w:cs="仿宋" w:hint="eastAsia"/>
          <w:sz w:val="32"/>
          <w:szCs w:val="32"/>
        </w:rPr>
        <w:t>，每日两次。</w:t>
      </w:r>
    </w:p>
    <w:p w:rsidR="00B23A40" w:rsidRDefault="00DD1A0D">
      <w:pPr>
        <w:spacing w:line="360" w:lineRule="auto"/>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避免与强效</w:t>
      </w:r>
      <w:r>
        <w:rPr>
          <w:rFonts w:ascii="仿宋" w:eastAsia="仿宋" w:hAnsi="仿宋" w:cs="仿宋"/>
          <w:sz w:val="32"/>
          <w:szCs w:val="32"/>
        </w:rPr>
        <w:t>CYP3A4/5</w:t>
      </w:r>
      <w:r>
        <w:rPr>
          <w:rFonts w:ascii="仿宋" w:eastAsia="仿宋" w:hAnsi="仿宋" w:cs="仿宋" w:hint="eastAsia"/>
          <w:sz w:val="32"/>
          <w:szCs w:val="32"/>
        </w:rPr>
        <w:t>抑制剂或强效</w:t>
      </w:r>
      <w:r>
        <w:rPr>
          <w:rFonts w:ascii="仿宋" w:eastAsia="仿宋" w:hAnsi="仿宋" w:cs="仿宋"/>
          <w:sz w:val="32"/>
          <w:szCs w:val="32"/>
        </w:rPr>
        <w:t>CYP3A4/5</w:t>
      </w:r>
      <w:r>
        <w:rPr>
          <w:rFonts w:ascii="仿宋" w:eastAsia="仿宋" w:hAnsi="仿宋" w:cs="仿宋" w:hint="eastAsia"/>
          <w:sz w:val="32"/>
          <w:szCs w:val="32"/>
        </w:rPr>
        <w:t>诱导剂</w:t>
      </w:r>
      <w:r>
        <w:rPr>
          <w:rFonts w:ascii="仿宋" w:eastAsia="仿宋" w:hAnsi="仿宋" w:cs="仿宋" w:hint="eastAsia"/>
          <w:sz w:val="32"/>
          <w:szCs w:val="32"/>
        </w:rPr>
        <w:lastRenderedPageBreak/>
        <w:t>合用。</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4.</w:t>
      </w:r>
      <w:r>
        <w:rPr>
          <w:rFonts w:ascii="仿宋" w:eastAsia="仿宋" w:hAnsi="仿宋" w:hint="eastAsia"/>
          <w:color w:val="000000"/>
          <w:sz w:val="32"/>
          <w:szCs w:val="32"/>
        </w:rPr>
        <w:t>联合帕博利珠单抗治疗晚期肾透明细胞癌时，推荐阿昔替尼的剂量为5mgbid，如能耐受，可考虑剂量滴定。联合治疗期间帕博丽珠单抗的用药要点请参见“六、帕博丽珠单抗”部分。</w:t>
      </w:r>
    </w:p>
    <w:p w:rsidR="00B23A40" w:rsidRDefault="00DD1A0D">
      <w:p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五、培唑帕尼 p</w:t>
      </w:r>
      <w:r>
        <w:rPr>
          <w:rFonts w:ascii="黑体" w:eastAsia="黑体" w:hAnsi="黑体" w:cs="黑体"/>
          <w:sz w:val="32"/>
          <w:szCs w:val="32"/>
        </w:rPr>
        <w:t>azopanib</w:t>
      </w:r>
    </w:p>
    <w:p w:rsidR="00B23A40" w:rsidRDefault="00DD1A0D">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片剂：</w:t>
      </w:r>
      <w:r>
        <w:rPr>
          <w:rFonts w:ascii="仿宋" w:eastAsia="仿宋" w:hAnsi="仿宋" w:cs="仿宋"/>
          <w:sz w:val="32"/>
          <w:szCs w:val="32"/>
        </w:rPr>
        <w:t xml:space="preserve">200mg </w:t>
      </w:r>
    </w:p>
    <w:p w:rsidR="00B23A40" w:rsidRDefault="00DD1A0D">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rPr>
        <w:t>适应证：</w:t>
      </w:r>
      <w:r>
        <w:rPr>
          <w:rFonts w:ascii="仿宋" w:eastAsia="仿宋" w:hAnsi="仿宋" w:cs="仿宋" w:hint="eastAsia"/>
          <w:sz w:val="32"/>
          <w:szCs w:val="32"/>
        </w:rPr>
        <w:t>本品适用于晚期肾细胞癌（</w:t>
      </w:r>
      <w:r>
        <w:rPr>
          <w:rFonts w:ascii="仿宋" w:eastAsia="仿宋" w:hAnsi="仿宋" w:cs="仿宋"/>
          <w:sz w:val="32"/>
          <w:szCs w:val="32"/>
        </w:rPr>
        <w:t>RCC</w:t>
      </w:r>
      <w:r>
        <w:rPr>
          <w:rFonts w:ascii="仿宋" w:eastAsia="仿宋" w:hAnsi="仿宋" w:cs="仿宋" w:hint="eastAsia"/>
          <w:sz w:val="32"/>
          <w:szCs w:val="32"/>
        </w:rPr>
        <w:t>）患者的一线治疗和曾接受细胞因子治疗的晚期</w:t>
      </w:r>
      <w:r>
        <w:rPr>
          <w:rFonts w:ascii="仿宋" w:eastAsia="仿宋" w:hAnsi="仿宋" w:cs="仿宋"/>
          <w:sz w:val="32"/>
          <w:szCs w:val="32"/>
        </w:rPr>
        <w:t>RCC</w:t>
      </w:r>
      <w:r>
        <w:rPr>
          <w:rFonts w:ascii="仿宋" w:eastAsia="仿宋" w:hAnsi="仿宋" w:cs="仿宋" w:hint="eastAsia"/>
          <w:sz w:val="32"/>
          <w:szCs w:val="32"/>
        </w:rPr>
        <w:t>患者的治疗。</w:t>
      </w:r>
    </w:p>
    <w:p w:rsidR="00B23A40" w:rsidRDefault="00DD1A0D">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培唑帕尼的推荐剂量为</w:t>
      </w:r>
      <w:r>
        <w:rPr>
          <w:rFonts w:ascii="仿宋" w:eastAsia="仿宋" w:hAnsi="仿宋" w:cs="仿宋"/>
          <w:sz w:val="32"/>
          <w:szCs w:val="32"/>
        </w:rPr>
        <w:t>800mg</w:t>
      </w:r>
      <w:r>
        <w:rPr>
          <w:rFonts w:ascii="仿宋" w:eastAsia="仿宋" w:hAnsi="仿宋" w:cs="仿宋" w:hint="eastAsia"/>
          <w:sz w:val="32"/>
          <w:szCs w:val="32"/>
        </w:rPr>
        <w:t>，每日一次，空腹服药。如果漏服剂量，且距下次剂量的服用时间不足</w:t>
      </w:r>
      <w:r>
        <w:rPr>
          <w:rFonts w:ascii="仿宋" w:eastAsia="仿宋" w:hAnsi="仿宋" w:cs="仿宋"/>
          <w:sz w:val="32"/>
          <w:szCs w:val="32"/>
        </w:rPr>
        <w:t>12</w:t>
      </w:r>
      <w:r>
        <w:rPr>
          <w:rFonts w:ascii="仿宋" w:eastAsia="仿宋" w:hAnsi="仿宋" w:cs="仿宋" w:hint="eastAsia"/>
          <w:sz w:val="32"/>
          <w:szCs w:val="32"/>
        </w:rPr>
        <w:t>小时，则不应补服。</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剂量调整应根据个体耐受情况，按</w:t>
      </w:r>
      <w:r>
        <w:rPr>
          <w:rFonts w:ascii="仿宋" w:eastAsia="仿宋" w:hAnsi="仿宋" w:cs="仿宋"/>
          <w:sz w:val="32"/>
          <w:szCs w:val="32"/>
        </w:rPr>
        <w:t>200mg</w:t>
      </w:r>
      <w:r>
        <w:rPr>
          <w:rFonts w:ascii="仿宋" w:eastAsia="仿宋" w:hAnsi="仿宋" w:cs="仿宋" w:hint="eastAsia"/>
          <w:sz w:val="32"/>
          <w:szCs w:val="32"/>
        </w:rPr>
        <w:t>的幅度逐步递增或递减，以控制不良反应。培唑帕尼的剂量不应超过</w:t>
      </w:r>
      <w:r>
        <w:rPr>
          <w:rFonts w:ascii="仿宋" w:eastAsia="仿宋" w:hAnsi="仿宋" w:cs="仿宋"/>
          <w:sz w:val="32"/>
          <w:szCs w:val="32"/>
        </w:rPr>
        <w:t>800mg</w:t>
      </w:r>
      <w:r>
        <w:rPr>
          <w:rFonts w:ascii="仿宋" w:eastAsia="仿宋" w:hAnsi="仿宋" w:cs="仿宋" w:hint="eastAsia"/>
          <w:sz w:val="32"/>
          <w:szCs w:val="32"/>
        </w:rPr>
        <w:t>。</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在培唑帕尼使用期间，轻度或中度肝功能损伤患者应慎用培唑帕尼，并且应密切监测，对于基线总胆红素的数值≤</w:t>
      </w:r>
      <w:r>
        <w:rPr>
          <w:rFonts w:ascii="仿宋" w:eastAsia="仿宋" w:hAnsi="仿宋" w:cs="仿宋"/>
          <w:sz w:val="32"/>
          <w:szCs w:val="32"/>
        </w:rPr>
        <w:t>1.5</w:t>
      </w:r>
      <w:r>
        <w:rPr>
          <w:rFonts w:ascii="仿宋" w:eastAsia="仿宋" w:hAnsi="仿宋" w:cs="仿宋" w:hint="eastAsia"/>
          <w:sz w:val="32"/>
          <w:szCs w:val="32"/>
        </w:rPr>
        <w:t>倍</w:t>
      </w:r>
      <w:r>
        <w:rPr>
          <w:rFonts w:ascii="仿宋" w:eastAsia="仿宋" w:hAnsi="仿宋" w:cs="仿宋"/>
          <w:sz w:val="32"/>
          <w:szCs w:val="32"/>
        </w:rPr>
        <w:t>ULN</w:t>
      </w:r>
      <w:r>
        <w:rPr>
          <w:rFonts w:ascii="仿宋" w:eastAsia="仿宋" w:hAnsi="仿宋" w:cs="仿宋" w:hint="eastAsia"/>
          <w:sz w:val="32"/>
          <w:szCs w:val="32"/>
        </w:rPr>
        <w:t>，且</w:t>
      </w:r>
      <w:r>
        <w:rPr>
          <w:rFonts w:ascii="仿宋" w:eastAsia="仿宋" w:hAnsi="仿宋" w:cs="仿宋"/>
          <w:sz w:val="32"/>
          <w:szCs w:val="32"/>
        </w:rPr>
        <w:t>AST</w:t>
      </w:r>
      <w:r>
        <w:rPr>
          <w:rFonts w:ascii="仿宋" w:eastAsia="仿宋" w:hAnsi="仿宋" w:cs="仿宋" w:hint="eastAsia"/>
          <w:sz w:val="32"/>
          <w:szCs w:val="32"/>
        </w:rPr>
        <w:t>及</w:t>
      </w:r>
      <w:r>
        <w:rPr>
          <w:rFonts w:ascii="仿宋" w:eastAsia="仿宋" w:hAnsi="仿宋" w:cs="仿宋"/>
          <w:sz w:val="32"/>
          <w:szCs w:val="32"/>
        </w:rPr>
        <w:t>ALT</w:t>
      </w:r>
      <w:r>
        <w:rPr>
          <w:rFonts w:ascii="仿宋" w:eastAsia="仿宋" w:hAnsi="仿宋" w:cs="仿宋" w:hint="eastAsia"/>
          <w:sz w:val="32"/>
          <w:szCs w:val="32"/>
        </w:rPr>
        <w:t>的数值≤</w:t>
      </w:r>
      <w:r>
        <w:rPr>
          <w:rFonts w:ascii="仿宋" w:eastAsia="仿宋" w:hAnsi="仿宋" w:cs="仿宋"/>
          <w:sz w:val="32"/>
          <w:szCs w:val="32"/>
        </w:rPr>
        <w:t>2</w:t>
      </w:r>
      <w:r>
        <w:rPr>
          <w:rFonts w:ascii="仿宋" w:eastAsia="仿宋" w:hAnsi="仿宋" w:cs="仿宋" w:hint="eastAsia"/>
          <w:sz w:val="32"/>
          <w:szCs w:val="32"/>
        </w:rPr>
        <w:t>倍</w:t>
      </w:r>
      <w:r>
        <w:rPr>
          <w:rFonts w:ascii="仿宋" w:eastAsia="仿宋" w:hAnsi="仿宋" w:cs="仿宋"/>
          <w:sz w:val="32"/>
          <w:szCs w:val="32"/>
        </w:rPr>
        <w:t>ULN</w:t>
      </w:r>
      <w:r>
        <w:rPr>
          <w:rFonts w:ascii="仿宋" w:eastAsia="仿宋" w:hAnsi="仿宋" w:cs="仿宋" w:hint="eastAsia"/>
          <w:sz w:val="32"/>
          <w:szCs w:val="32"/>
        </w:rPr>
        <w:t>的患者，其剂量调整参见针对药物性肝毒性的剂量调整指南。</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用药期间必须注意常见的肝功能损伤和高血压。</w:t>
      </w:r>
    </w:p>
    <w:p w:rsidR="00B23A40" w:rsidRDefault="00DD1A0D">
      <w:pPr>
        <w:spacing w:line="360" w:lineRule="auto"/>
        <w:ind w:firstLineChars="200" w:firstLine="640"/>
        <w:rPr>
          <w:rFonts w:ascii="仿宋" w:eastAsia="仿宋" w:hAnsi="仿宋" w:cs="仿宋"/>
          <w:sz w:val="32"/>
          <w:szCs w:val="32"/>
        </w:rPr>
      </w:pPr>
      <w:r>
        <w:rPr>
          <w:rFonts w:ascii="仿宋" w:eastAsia="仿宋" w:hAnsi="仿宋" w:cs="仿宋"/>
          <w:sz w:val="32"/>
          <w:szCs w:val="32"/>
        </w:rPr>
        <w:t>5.</w:t>
      </w:r>
      <w:r>
        <w:rPr>
          <w:rFonts w:ascii="仿宋" w:eastAsia="仿宋" w:hAnsi="仿宋" w:cs="仿宋" w:hint="eastAsia"/>
          <w:sz w:val="32"/>
          <w:szCs w:val="32"/>
        </w:rPr>
        <w:t>避免同时使用</w:t>
      </w:r>
      <w:r>
        <w:rPr>
          <w:rFonts w:ascii="仿宋" w:eastAsia="仿宋" w:hAnsi="仿宋" w:cs="仿宋"/>
          <w:sz w:val="32"/>
          <w:szCs w:val="32"/>
        </w:rPr>
        <w:t>CYP3A4</w:t>
      </w:r>
      <w:r>
        <w:rPr>
          <w:rFonts w:ascii="仿宋" w:eastAsia="仿宋" w:hAnsi="仿宋" w:cs="仿宋" w:hint="eastAsia"/>
          <w:sz w:val="32"/>
          <w:szCs w:val="32"/>
        </w:rPr>
        <w:t>、</w:t>
      </w:r>
      <w:r>
        <w:rPr>
          <w:rFonts w:ascii="仿宋" w:eastAsia="仿宋" w:hAnsi="仿宋" w:cs="仿宋"/>
          <w:sz w:val="32"/>
          <w:szCs w:val="32"/>
        </w:rPr>
        <w:t>P-</w:t>
      </w:r>
      <w:r>
        <w:rPr>
          <w:rFonts w:ascii="仿宋" w:eastAsia="仿宋" w:hAnsi="仿宋" w:cs="仿宋" w:hint="eastAsia"/>
          <w:sz w:val="32"/>
          <w:szCs w:val="32"/>
        </w:rPr>
        <w:t>糖蛋白（</w:t>
      </w:r>
      <w:r>
        <w:rPr>
          <w:rFonts w:ascii="仿宋" w:eastAsia="仿宋" w:hAnsi="仿宋" w:cs="仿宋"/>
          <w:sz w:val="32"/>
          <w:szCs w:val="32"/>
        </w:rPr>
        <w:t>P-gp</w:t>
      </w:r>
      <w:r>
        <w:rPr>
          <w:rFonts w:ascii="仿宋" w:eastAsia="仿宋" w:hAnsi="仿宋" w:cs="仿宋" w:hint="eastAsia"/>
          <w:sz w:val="32"/>
          <w:szCs w:val="32"/>
        </w:rPr>
        <w:t>）或乳腺癌耐</w:t>
      </w:r>
      <w:r>
        <w:rPr>
          <w:rFonts w:ascii="仿宋" w:eastAsia="仿宋" w:hAnsi="仿宋" w:cs="仿宋" w:hint="eastAsia"/>
          <w:sz w:val="32"/>
          <w:szCs w:val="32"/>
        </w:rPr>
        <w:lastRenderedPageBreak/>
        <w:t>药蛋白（</w:t>
      </w:r>
      <w:r>
        <w:rPr>
          <w:rFonts w:ascii="仿宋" w:eastAsia="仿宋" w:hAnsi="仿宋" w:cs="仿宋"/>
          <w:sz w:val="32"/>
          <w:szCs w:val="32"/>
        </w:rPr>
        <w:t>BCRP</w:t>
      </w:r>
      <w:r>
        <w:rPr>
          <w:rFonts w:ascii="仿宋" w:eastAsia="仿宋" w:hAnsi="仿宋" w:cs="仿宋" w:hint="eastAsia"/>
          <w:sz w:val="32"/>
          <w:szCs w:val="32"/>
        </w:rPr>
        <w:t>）的强抑制剂治疗。</w:t>
      </w:r>
    </w:p>
    <w:p w:rsidR="00B23A40" w:rsidRDefault="00DD1A0D">
      <w:pPr>
        <w:spacing w:line="360" w:lineRule="auto"/>
        <w:ind w:firstLineChars="200" w:firstLine="640"/>
        <w:rPr>
          <w:rFonts w:ascii="黑体" w:eastAsia="黑体" w:hAnsi="黑体" w:cs="Times New Roman"/>
          <w:sz w:val="32"/>
          <w:szCs w:val="32"/>
          <w:lang w:val="fr-FR"/>
        </w:rPr>
      </w:pPr>
      <w:r>
        <w:rPr>
          <w:rFonts w:ascii="黑体" w:eastAsia="黑体" w:hAnsi="黑体" w:cs="黑体" w:hint="eastAsia"/>
          <w:sz w:val="32"/>
          <w:szCs w:val="32"/>
          <w:lang w:val="fr-FR"/>
        </w:rPr>
        <w:t>六、</w:t>
      </w:r>
      <w:r>
        <w:rPr>
          <w:rFonts w:ascii="黑体" w:eastAsia="黑体" w:hAnsi="黑体" w:cs="黑体" w:hint="eastAsia"/>
          <w:sz w:val="32"/>
          <w:szCs w:val="32"/>
        </w:rPr>
        <w:t>帕博利珠单抗 p</w:t>
      </w:r>
      <w:r>
        <w:rPr>
          <w:rFonts w:ascii="黑体" w:eastAsia="黑体" w:hAnsi="黑体" w:cs="黑体"/>
          <w:sz w:val="32"/>
          <w:szCs w:val="32"/>
        </w:rPr>
        <w:t>embrolizumab</w:t>
      </w:r>
    </w:p>
    <w:p w:rsidR="00B23A40" w:rsidRDefault="00DD1A0D">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注射液 100mg</w:t>
      </w:r>
    </w:p>
    <w:p w:rsidR="00B23A40" w:rsidRDefault="00DD1A0D">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rPr>
        <w:t>适应证：</w:t>
      </w:r>
      <w:r>
        <w:rPr>
          <w:rFonts w:ascii="仿宋" w:eastAsia="仿宋" w:hAnsi="仿宋" w:hint="eastAsia"/>
          <w:color w:val="000000"/>
          <w:sz w:val="32"/>
          <w:szCs w:val="32"/>
        </w:rPr>
        <w:t>帕博利珠单抗联合阿昔替尼适用于晚期肾透明细胞癌的一线治疗。</w:t>
      </w:r>
    </w:p>
    <w:p w:rsidR="00B23A40" w:rsidRDefault="00DD1A0D">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B23A40" w:rsidRDefault="00DD1A0D">
      <w:pPr>
        <w:spacing w:line="360" w:lineRule="auto"/>
        <w:ind w:firstLineChars="200" w:firstLine="640"/>
        <w:rPr>
          <w:rFonts w:ascii="仿宋" w:eastAsia="仿宋" w:hAnsi="仿宋"/>
          <w:color w:val="000000"/>
          <w:sz w:val="32"/>
          <w:szCs w:val="32"/>
        </w:rPr>
      </w:pPr>
      <w:r>
        <w:rPr>
          <w:rFonts w:ascii="仿宋" w:eastAsia="仿宋" w:hAnsi="仿宋" w:cs="仿宋"/>
          <w:sz w:val="32"/>
          <w:szCs w:val="32"/>
        </w:rPr>
        <w:t>1.</w:t>
      </w:r>
      <w:r>
        <w:rPr>
          <w:rFonts w:ascii="仿宋" w:eastAsia="仿宋" w:hAnsi="仿宋" w:hint="eastAsia"/>
          <w:color w:val="000000"/>
          <w:sz w:val="32"/>
          <w:szCs w:val="32"/>
        </w:rPr>
        <w:t>未经全身系统性治疗的晚期肾透明细胞癌患者或者既往靶向治疗失败后的晚期肾细胞癌患者。</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2.帕博利珠单抗联合阿昔替尼用于晚期肾透明细胞癌的一线治疗适应症是基于全球Ⅲ期KEYNOTE-426临床研究的结果。帕博丽珠单抗通过静脉注射给药200mg固定剂量，每3周一次，每次持续至少30分钟，阿昔替尼 5mgbid口服（部分患者进行了剂量滴定）。该联合方案已获得美国FDA批准，但目前尚未得到中国</w:t>
      </w:r>
      <w:r>
        <w:rPr>
          <w:rFonts w:ascii="仿宋" w:eastAsia="仿宋" w:hAnsi="仿宋"/>
          <w:color w:val="000000"/>
          <w:sz w:val="32"/>
          <w:szCs w:val="32"/>
        </w:rPr>
        <w:t>NMPA</w:t>
      </w:r>
      <w:r>
        <w:rPr>
          <w:rFonts w:ascii="仿宋" w:eastAsia="仿宋" w:hAnsi="仿宋" w:hint="eastAsia"/>
          <w:color w:val="000000"/>
          <w:sz w:val="32"/>
          <w:szCs w:val="32"/>
        </w:rPr>
        <w:t>的获批，已经获得2</w:t>
      </w:r>
      <w:r>
        <w:rPr>
          <w:rFonts w:ascii="仿宋" w:eastAsia="仿宋" w:hAnsi="仿宋"/>
          <w:color w:val="000000"/>
          <w:sz w:val="32"/>
          <w:szCs w:val="32"/>
        </w:rPr>
        <w:t>019</w:t>
      </w:r>
      <w:r>
        <w:rPr>
          <w:rFonts w:ascii="仿宋" w:eastAsia="仿宋" w:hAnsi="仿宋" w:hint="eastAsia"/>
          <w:color w:val="000000"/>
          <w:sz w:val="32"/>
          <w:szCs w:val="32"/>
        </w:rPr>
        <w:t>版C</w:t>
      </w:r>
      <w:r>
        <w:rPr>
          <w:rFonts w:ascii="仿宋" w:eastAsia="仿宋" w:hAnsi="仿宋"/>
          <w:color w:val="000000"/>
          <w:sz w:val="32"/>
          <w:szCs w:val="32"/>
        </w:rPr>
        <w:t>SCO</w:t>
      </w:r>
      <w:r>
        <w:rPr>
          <w:rFonts w:ascii="仿宋" w:eastAsia="仿宋" w:hAnsi="仿宋" w:hint="eastAsia"/>
          <w:color w:val="000000"/>
          <w:sz w:val="32"/>
          <w:szCs w:val="32"/>
        </w:rPr>
        <w:t>肾癌诊疗指南的推荐，可在与患者充分沟通的情况下考虑使用。</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hint="eastAsia"/>
          <w:color w:val="000000"/>
          <w:sz w:val="32"/>
          <w:szCs w:val="32"/>
        </w:rPr>
        <w:t>3.</w:t>
      </w:r>
      <w:r>
        <w:rPr>
          <w:rFonts w:ascii="仿宋" w:eastAsia="仿宋" w:hAnsi="仿宋" w:cs="仿宋" w:hint="eastAsia"/>
          <w:sz w:val="32"/>
          <w:szCs w:val="32"/>
        </w:rPr>
        <w:t>对于既往靶向治疗失败的晚期肾透明细胞癌，可以考虑帕博利珠单抗联合阿昔替尼用于二三线治疗。</w:t>
      </w:r>
    </w:p>
    <w:p w:rsidR="00B23A40" w:rsidRDefault="00DD1A0D">
      <w:pPr>
        <w:ind w:firstLineChars="200" w:firstLine="640"/>
        <w:rPr>
          <w:rFonts w:ascii="仿宋" w:eastAsia="仿宋" w:hAnsi="仿宋"/>
          <w:color w:val="000000"/>
          <w:sz w:val="32"/>
          <w:szCs w:val="32"/>
        </w:rPr>
      </w:pPr>
      <w:r>
        <w:rPr>
          <w:rFonts w:ascii="仿宋" w:eastAsia="仿宋" w:hAnsi="仿宋" w:cs="仿宋" w:hint="eastAsia"/>
          <w:sz w:val="32"/>
          <w:szCs w:val="32"/>
        </w:rPr>
        <w:t>4</w:t>
      </w:r>
      <w:r>
        <w:rPr>
          <w:rFonts w:ascii="仿宋" w:eastAsia="仿宋" w:hAnsi="仿宋" w:hint="eastAsia"/>
          <w:color w:val="000000"/>
          <w:sz w:val="32"/>
          <w:szCs w:val="32"/>
        </w:rPr>
        <w:t>.在使用本品之前应避免使用全身性糖皮质激素或免疫抑制剂，因为这些药物可能会影响本品的药效学活性及疗效。但在本品开始给药后，可使用全身性糖皮质激素或其他免疫抑制剂治疗免疫介导性不良反应。</w:t>
      </w:r>
    </w:p>
    <w:p w:rsidR="00B23A40" w:rsidRDefault="00DD1A0D">
      <w:pPr>
        <w:ind w:firstLineChars="200" w:firstLine="640"/>
        <w:rPr>
          <w:rFonts w:ascii="仿宋" w:eastAsia="仿宋" w:hAnsi="仿宋"/>
          <w:color w:val="000000"/>
          <w:sz w:val="32"/>
          <w:szCs w:val="32"/>
        </w:rPr>
      </w:pPr>
      <w:r>
        <w:rPr>
          <w:rFonts w:ascii="仿宋" w:eastAsia="仿宋" w:hAnsi="仿宋"/>
          <w:color w:val="000000"/>
          <w:sz w:val="32"/>
          <w:szCs w:val="32"/>
        </w:rPr>
        <w:lastRenderedPageBreak/>
        <w:t>5</w:t>
      </w:r>
      <w:r>
        <w:rPr>
          <w:rFonts w:ascii="仿宋" w:eastAsia="仿宋" w:hAnsi="仿宋" w:hint="eastAsia"/>
          <w:color w:val="000000"/>
          <w:sz w:val="32"/>
          <w:szCs w:val="32"/>
        </w:rPr>
        <w:t>.根据个体患者的安全性和耐受性，可能需要暂停给药或停药，不建议增加或减少剂量。</w:t>
      </w:r>
    </w:p>
    <w:p w:rsidR="00B23A40" w:rsidRDefault="00DD1A0D">
      <w:pPr>
        <w:ind w:firstLineChars="200" w:firstLine="640"/>
        <w:rPr>
          <w:rFonts w:ascii="仿宋" w:eastAsia="仿宋" w:hAnsi="仿宋"/>
          <w:color w:val="000000"/>
          <w:sz w:val="32"/>
          <w:szCs w:val="32"/>
        </w:rPr>
      </w:pPr>
      <w:r>
        <w:rPr>
          <w:rFonts w:ascii="仿宋" w:eastAsia="仿宋" w:hAnsi="仿宋"/>
          <w:color w:val="000000"/>
          <w:sz w:val="32"/>
          <w:szCs w:val="32"/>
        </w:rPr>
        <w:t>6</w:t>
      </w:r>
      <w:r>
        <w:rPr>
          <w:rFonts w:ascii="仿宋" w:eastAsia="仿宋" w:hAnsi="仿宋" w:hint="eastAsia"/>
          <w:color w:val="000000"/>
          <w:sz w:val="32"/>
          <w:szCs w:val="32"/>
        </w:rPr>
        <w:t>.根据副反应判断其与药物的相关性。如发生4级或复发性3级，考虑与帕博丽珠单抗相关的不良反应，虽然进行治疗调整但仍持续存在2级或3级不良反应，应永久性停用帕博利珠单抗。有关阿昔替尼的具体用法详见阿昔替尼部分的介绍。</w:t>
      </w:r>
    </w:p>
    <w:p w:rsidR="00B23A40" w:rsidRDefault="00DD1A0D">
      <w:pPr>
        <w:ind w:firstLineChars="200" w:firstLine="640"/>
        <w:rPr>
          <w:rFonts w:ascii="仿宋" w:eastAsia="仿宋" w:hAnsi="仿宋"/>
          <w:color w:val="000000"/>
          <w:sz w:val="32"/>
          <w:szCs w:val="32"/>
        </w:rPr>
      </w:pPr>
      <w:r>
        <w:rPr>
          <w:rFonts w:ascii="仿宋" w:eastAsia="仿宋" w:hAnsi="仿宋"/>
          <w:color w:val="000000"/>
          <w:sz w:val="32"/>
          <w:szCs w:val="32"/>
        </w:rPr>
        <w:t>7</w:t>
      </w:r>
      <w:r>
        <w:rPr>
          <w:rFonts w:ascii="仿宋" w:eastAsia="仿宋" w:hAnsi="仿宋" w:hint="eastAsia"/>
          <w:color w:val="000000"/>
          <w:sz w:val="32"/>
          <w:szCs w:val="32"/>
        </w:rPr>
        <w:t>.老年人群的数据尚不明确，轻或中度肾功能不全患者无需调整剂量，重度肾功能不全患者的数据有限。</w:t>
      </w:r>
    </w:p>
    <w:p w:rsidR="00B23A40" w:rsidRDefault="00DD1A0D">
      <w:pPr>
        <w:ind w:firstLineChars="200" w:firstLine="640"/>
        <w:rPr>
          <w:rFonts w:ascii="仿宋" w:eastAsia="仿宋" w:hAnsi="仿宋"/>
          <w:color w:val="000000"/>
          <w:sz w:val="32"/>
          <w:szCs w:val="32"/>
        </w:rPr>
      </w:pPr>
      <w:r>
        <w:rPr>
          <w:rFonts w:ascii="仿宋" w:eastAsia="仿宋" w:hAnsi="仿宋"/>
          <w:color w:val="000000"/>
          <w:sz w:val="32"/>
          <w:szCs w:val="32"/>
        </w:rPr>
        <w:t>8</w:t>
      </w:r>
      <w:r>
        <w:rPr>
          <w:rFonts w:ascii="仿宋" w:eastAsia="仿宋" w:hAnsi="仿宋" w:hint="eastAsia"/>
          <w:color w:val="000000"/>
          <w:sz w:val="32"/>
          <w:szCs w:val="32"/>
        </w:rPr>
        <w:t>.轻度肝功能损伤患者无需调整剂量，尚未在中度或重度肝功能不全患者中进行本品的相关研究。</w:t>
      </w:r>
    </w:p>
    <w:p w:rsidR="00B23A40" w:rsidRDefault="00DD1A0D">
      <w:pPr>
        <w:ind w:firstLineChars="200" w:firstLine="640"/>
        <w:rPr>
          <w:rFonts w:ascii="仿宋" w:eastAsia="仿宋" w:hAnsi="仿宋"/>
          <w:color w:val="000000"/>
          <w:sz w:val="32"/>
          <w:szCs w:val="32"/>
        </w:rPr>
      </w:pPr>
      <w:r>
        <w:rPr>
          <w:rFonts w:ascii="仿宋" w:eastAsia="仿宋" w:hAnsi="仿宋"/>
          <w:color w:val="000000"/>
          <w:sz w:val="32"/>
          <w:szCs w:val="32"/>
        </w:rPr>
        <w:t>9</w:t>
      </w:r>
      <w:r>
        <w:rPr>
          <w:rFonts w:ascii="仿宋" w:eastAsia="仿宋" w:hAnsi="仿宋" w:hint="eastAsia"/>
          <w:color w:val="000000"/>
          <w:sz w:val="32"/>
          <w:szCs w:val="32"/>
        </w:rPr>
        <w:t>.帕博利珠单抗可引起免疫相关性不良反应。因为不良反应可能在帕博利珠单抗治疗期间或帕博利珠单抗治疗停止后的任何时间发生，应持续进行患者监测。</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1</w:t>
      </w:r>
      <w:r>
        <w:rPr>
          <w:rFonts w:ascii="仿宋" w:eastAsia="仿宋" w:hAnsi="仿宋"/>
          <w:color w:val="000000"/>
          <w:sz w:val="32"/>
          <w:szCs w:val="32"/>
        </w:rPr>
        <w:t>0</w:t>
      </w:r>
      <w:r>
        <w:rPr>
          <w:rFonts w:ascii="仿宋" w:eastAsia="仿宋" w:hAnsi="仿宋" w:hint="eastAsia"/>
          <w:color w:val="000000"/>
          <w:sz w:val="32"/>
          <w:szCs w:val="32"/>
        </w:rPr>
        <w:t>.对于疑似免疫相关性不良反应，应进行充分的评估以确认病因或排除其他病因。根据不良反应的严重程度，暂停帕博利珠单抗治疗并给予糖皮质激素或非糖皮质激素性免疫抑制剂治疗。必要时与相关领域学科进行多学科诊疗。</w:t>
      </w:r>
    </w:p>
    <w:p w:rsidR="00B23A40" w:rsidRDefault="00DD1A0D">
      <w:p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七、纳武利尤单抗 n</w:t>
      </w:r>
      <w:r>
        <w:rPr>
          <w:rFonts w:ascii="黑体" w:eastAsia="黑体" w:hAnsi="黑体" w:cs="黑体"/>
          <w:sz w:val="32"/>
          <w:szCs w:val="32"/>
        </w:rPr>
        <w:t>ivolumab</w:t>
      </w:r>
    </w:p>
    <w:p w:rsidR="00B23A40" w:rsidRDefault="00DD1A0D">
      <w:pPr>
        <w:spacing w:line="360" w:lineRule="auto"/>
        <w:ind w:firstLineChars="200" w:firstLine="613"/>
        <w:rPr>
          <w:rFonts w:ascii="仿宋" w:eastAsia="仿宋" w:hAnsi="仿宋" w:cs="Times New Roman"/>
          <w:b/>
          <w:bCs/>
          <w:w w:val="95"/>
          <w:sz w:val="32"/>
          <w:szCs w:val="32"/>
          <w:lang w:val="it-IT"/>
        </w:rPr>
      </w:pPr>
      <w:r>
        <w:rPr>
          <w:rFonts w:ascii="仿宋" w:eastAsia="仿宋" w:hAnsi="仿宋" w:cs="仿宋" w:hint="eastAsia"/>
          <w:b/>
          <w:bCs/>
          <w:w w:val="95"/>
          <w:sz w:val="32"/>
          <w:szCs w:val="32"/>
        </w:rPr>
        <w:t>制剂与规格</w:t>
      </w:r>
      <w:r>
        <w:rPr>
          <w:rFonts w:ascii="仿宋" w:eastAsia="仿宋" w:hAnsi="仿宋" w:cs="仿宋" w:hint="eastAsia"/>
          <w:w w:val="95"/>
          <w:sz w:val="32"/>
          <w:szCs w:val="32"/>
          <w:lang w:val="it-IT"/>
        </w:rPr>
        <w:t>：注射液：</w:t>
      </w:r>
      <w:r>
        <w:rPr>
          <w:rFonts w:ascii="仿宋" w:eastAsia="仿宋" w:hAnsi="仿宋" w:cs="仿宋"/>
          <w:w w:val="95"/>
          <w:sz w:val="32"/>
          <w:szCs w:val="32"/>
          <w:lang w:val="it-IT"/>
        </w:rPr>
        <w:t>40mg</w:t>
      </w:r>
      <w:r>
        <w:rPr>
          <w:rFonts w:ascii="仿宋" w:eastAsia="仿宋" w:hAnsi="仿宋" w:cs="仿宋" w:hint="eastAsia"/>
          <w:w w:val="95"/>
          <w:sz w:val="32"/>
          <w:szCs w:val="32"/>
          <w:lang w:val="it-IT"/>
        </w:rPr>
        <w:t>（</w:t>
      </w:r>
      <w:r>
        <w:rPr>
          <w:rFonts w:ascii="仿宋" w:eastAsia="仿宋" w:hAnsi="仿宋" w:cs="仿宋"/>
          <w:w w:val="95"/>
          <w:sz w:val="32"/>
          <w:szCs w:val="32"/>
          <w:lang w:val="it-IT"/>
        </w:rPr>
        <w:t>4ml</w:t>
      </w:r>
      <w:r>
        <w:rPr>
          <w:rFonts w:ascii="仿宋" w:eastAsia="仿宋" w:hAnsi="仿宋" w:cs="仿宋" w:hint="eastAsia"/>
          <w:w w:val="95"/>
          <w:sz w:val="32"/>
          <w:szCs w:val="32"/>
          <w:lang w:val="it-IT"/>
        </w:rPr>
        <w:t>）</w:t>
      </w:r>
      <w:r>
        <w:rPr>
          <w:rFonts w:ascii="仿宋" w:eastAsia="仿宋" w:hAnsi="仿宋" w:cs="仿宋"/>
          <w:w w:val="95"/>
          <w:sz w:val="32"/>
          <w:szCs w:val="32"/>
          <w:lang w:val="it-IT"/>
        </w:rPr>
        <w:t>/</w:t>
      </w:r>
      <w:r>
        <w:rPr>
          <w:rFonts w:ascii="仿宋" w:eastAsia="仿宋" w:hAnsi="仿宋" w:cs="仿宋" w:hint="eastAsia"/>
          <w:w w:val="95"/>
          <w:sz w:val="32"/>
          <w:szCs w:val="32"/>
          <w:lang w:val="it-IT"/>
        </w:rPr>
        <w:t>瓶、</w:t>
      </w:r>
      <w:r>
        <w:rPr>
          <w:rFonts w:ascii="仿宋" w:eastAsia="仿宋" w:hAnsi="仿宋" w:cs="仿宋"/>
          <w:w w:val="95"/>
          <w:sz w:val="32"/>
          <w:szCs w:val="32"/>
          <w:lang w:val="it-IT"/>
        </w:rPr>
        <w:t>100mg</w:t>
      </w:r>
      <w:r>
        <w:rPr>
          <w:rFonts w:ascii="仿宋" w:eastAsia="仿宋" w:hAnsi="仿宋" w:cs="仿宋" w:hint="eastAsia"/>
          <w:w w:val="95"/>
          <w:sz w:val="32"/>
          <w:szCs w:val="32"/>
          <w:lang w:val="it-IT"/>
        </w:rPr>
        <w:t>（</w:t>
      </w:r>
      <w:r>
        <w:rPr>
          <w:rFonts w:ascii="仿宋" w:eastAsia="仿宋" w:hAnsi="仿宋" w:cs="仿宋"/>
          <w:w w:val="95"/>
          <w:sz w:val="32"/>
          <w:szCs w:val="32"/>
          <w:lang w:val="it-IT"/>
        </w:rPr>
        <w:t>10ml</w:t>
      </w:r>
      <w:r>
        <w:rPr>
          <w:rFonts w:ascii="仿宋" w:eastAsia="仿宋" w:hAnsi="仿宋" w:cs="仿宋" w:hint="eastAsia"/>
          <w:w w:val="95"/>
          <w:sz w:val="32"/>
          <w:szCs w:val="32"/>
          <w:lang w:val="it-IT"/>
        </w:rPr>
        <w:t>）</w:t>
      </w:r>
      <w:r>
        <w:rPr>
          <w:rFonts w:ascii="仿宋" w:eastAsia="仿宋" w:hAnsi="仿宋" w:cs="仿宋"/>
          <w:w w:val="95"/>
          <w:sz w:val="32"/>
          <w:szCs w:val="32"/>
          <w:lang w:val="it-IT"/>
        </w:rPr>
        <w:t>/</w:t>
      </w:r>
      <w:r>
        <w:rPr>
          <w:rFonts w:ascii="仿宋" w:eastAsia="仿宋" w:hAnsi="仿宋" w:cs="仿宋" w:hint="eastAsia"/>
          <w:w w:val="95"/>
          <w:sz w:val="32"/>
          <w:szCs w:val="32"/>
          <w:lang w:val="it-IT"/>
        </w:rPr>
        <w:t>瓶</w:t>
      </w:r>
    </w:p>
    <w:p w:rsidR="00B23A40" w:rsidRDefault="00DD1A0D">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rPr>
        <w:t>适应证</w:t>
      </w:r>
      <w:r>
        <w:rPr>
          <w:rFonts w:ascii="仿宋" w:eastAsia="仿宋" w:hAnsi="仿宋" w:cs="仿宋" w:hint="eastAsia"/>
          <w:sz w:val="32"/>
          <w:szCs w:val="32"/>
        </w:rPr>
        <w:t>：本品联合伊匹单抗适用于IMDC评分为中高危</w:t>
      </w:r>
      <w:r>
        <w:rPr>
          <w:rFonts w:ascii="仿宋" w:eastAsia="仿宋" w:hAnsi="仿宋" w:cs="仿宋" w:hint="eastAsia"/>
          <w:sz w:val="32"/>
          <w:szCs w:val="32"/>
        </w:rPr>
        <w:lastRenderedPageBreak/>
        <w:t>的晚期肾细胞癌患者的一线治疗。</w:t>
      </w:r>
    </w:p>
    <w:p w:rsidR="00B23A40" w:rsidRDefault="00DD1A0D">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1.纳武利尤单抗联合伊匹单抗用于IMDC评分为中高危的晚期肾细胞癌的一线治疗基于</w:t>
      </w:r>
      <w:r>
        <w:rPr>
          <w:rFonts w:ascii="仿宋" w:eastAsia="仿宋" w:hAnsi="仿宋" w:cs="仿宋"/>
          <w:sz w:val="32"/>
          <w:szCs w:val="32"/>
        </w:rPr>
        <w:t xml:space="preserve">CheckMate </w:t>
      </w:r>
      <w:r>
        <w:rPr>
          <w:rFonts w:ascii="仿宋" w:eastAsia="仿宋" w:hAnsi="仿宋" w:cs="仿宋" w:hint="eastAsia"/>
          <w:sz w:val="32"/>
          <w:szCs w:val="32"/>
        </w:rPr>
        <w:t>214研究。该治疗方法已获得美国FDA和欧洲药品管理局获批，推荐临床剂量是纳武利尤单抗</w:t>
      </w:r>
      <w:r>
        <w:rPr>
          <w:rFonts w:ascii="仿宋" w:eastAsia="仿宋" w:hAnsi="仿宋" w:cs="仿宋"/>
          <w:sz w:val="32"/>
          <w:szCs w:val="32"/>
        </w:rPr>
        <w:t xml:space="preserve">3mg/kg </w:t>
      </w:r>
      <w:r>
        <w:rPr>
          <w:rFonts w:ascii="仿宋" w:eastAsia="仿宋" w:hAnsi="仿宋" w:hint="eastAsia"/>
          <w:color w:val="000000"/>
          <w:sz w:val="32"/>
          <w:szCs w:val="32"/>
        </w:rPr>
        <w:t>每次持续至少60分钟</w:t>
      </w:r>
      <w:r>
        <w:rPr>
          <w:rFonts w:ascii="仿宋" w:eastAsia="仿宋" w:hAnsi="仿宋" w:cs="仿宋" w:hint="eastAsia"/>
          <w:sz w:val="32"/>
          <w:szCs w:val="32"/>
        </w:rPr>
        <w:t>+伊匹单抗 1mg</w:t>
      </w:r>
      <w:r>
        <w:rPr>
          <w:rFonts w:ascii="仿宋" w:eastAsia="仿宋" w:hAnsi="仿宋" w:cs="仿宋"/>
          <w:sz w:val="32"/>
          <w:szCs w:val="32"/>
        </w:rPr>
        <w:t xml:space="preserve">/mg </w:t>
      </w:r>
      <w:r>
        <w:rPr>
          <w:rFonts w:ascii="仿宋" w:eastAsia="仿宋" w:hAnsi="仿宋" w:hint="eastAsia"/>
          <w:color w:val="000000"/>
          <w:sz w:val="32"/>
          <w:szCs w:val="32"/>
        </w:rPr>
        <w:t>每次持续至少30分钟</w:t>
      </w:r>
      <w:r>
        <w:rPr>
          <w:rFonts w:ascii="仿宋" w:eastAsia="仿宋" w:hAnsi="仿宋" w:cs="仿宋" w:hint="eastAsia"/>
          <w:sz w:val="32"/>
          <w:szCs w:val="32"/>
        </w:rPr>
        <w:t>，每3周1次，连续4次后，改为纳武利尤单抗3mg</w:t>
      </w:r>
      <w:r>
        <w:rPr>
          <w:rFonts w:ascii="仿宋" w:eastAsia="仿宋" w:hAnsi="仿宋" w:cs="仿宋"/>
          <w:sz w:val="32"/>
          <w:szCs w:val="32"/>
        </w:rPr>
        <w:t xml:space="preserve">/kg </w:t>
      </w:r>
      <w:r>
        <w:rPr>
          <w:rFonts w:ascii="仿宋" w:eastAsia="仿宋" w:hAnsi="仿宋" w:cs="仿宋" w:hint="eastAsia"/>
          <w:sz w:val="32"/>
          <w:szCs w:val="32"/>
        </w:rPr>
        <w:t>每2周1次，</w:t>
      </w:r>
      <w:r>
        <w:rPr>
          <w:rFonts w:ascii="仿宋" w:eastAsia="仿宋" w:hAnsi="仿宋" w:hint="eastAsia"/>
          <w:color w:val="000000"/>
          <w:sz w:val="32"/>
          <w:szCs w:val="32"/>
        </w:rPr>
        <w:t>每次持续至少60分钟</w:t>
      </w:r>
      <w:r>
        <w:rPr>
          <w:rFonts w:ascii="仿宋" w:eastAsia="仿宋" w:hAnsi="仿宋" w:cs="仿宋" w:hint="eastAsia"/>
          <w:sz w:val="32"/>
          <w:szCs w:val="32"/>
        </w:rPr>
        <w:t>。但该适应症尚未获得中国N</w:t>
      </w:r>
      <w:r>
        <w:rPr>
          <w:rFonts w:ascii="仿宋" w:eastAsia="仿宋" w:hAnsi="仿宋" w:cs="仿宋"/>
          <w:sz w:val="32"/>
          <w:szCs w:val="32"/>
        </w:rPr>
        <w:t>MPA</w:t>
      </w:r>
      <w:r>
        <w:rPr>
          <w:rFonts w:ascii="仿宋" w:eastAsia="仿宋" w:hAnsi="仿宋" w:cs="仿宋" w:hint="eastAsia"/>
          <w:sz w:val="32"/>
          <w:szCs w:val="32"/>
        </w:rPr>
        <w:t>批准，已经获得2019版CSCO肾癌诊疗指南的推荐，可在与患者充分沟通的情况下考虑使用。</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2</w:t>
      </w:r>
      <w:r>
        <w:rPr>
          <w:rFonts w:ascii="仿宋" w:eastAsia="仿宋" w:hAnsi="仿宋" w:cs="仿宋"/>
          <w:sz w:val="32"/>
          <w:szCs w:val="32"/>
        </w:rPr>
        <w:t>.国际转移性肾细胞癌数据库联盟</w:t>
      </w:r>
      <w:r>
        <w:rPr>
          <w:rFonts w:ascii="仿宋" w:eastAsia="仿宋" w:hAnsi="仿宋" w:cs="仿宋" w:hint="eastAsia"/>
          <w:sz w:val="32"/>
          <w:szCs w:val="32"/>
        </w:rPr>
        <w:t>（IMDC）评分内容包括：贫血（低于正常值下限）、中性粒细胞升高（高于正常值上限）、血小板升高（高于正常值上限）、KPS评分&lt;</w:t>
      </w:r>
      <w:r>
        <w:rPr>
          <w:rFonts w:ascii="仿宋" w:eastAsia="仿宋" w:hAnsi="仿宋" w:cs="仿宋"/>
          <w:sz w:val="32"/>
          <w:szCs w:val="32"/>
        </w:rPr>
        <w:t>80</w:t>
      </w:r>
      <w:r>
        <w:rPr>
          <w:rFonts w:ascii="仿宋" w:eastAsia="仿宋" w:hAnsi="仿宋" w:cs="仿宋" w:hint="eastAsia"/>
          <w:sz w:val="32"/>
          <w:szCs w:val="32"/>
        </w:rPr>
        <w:t>、</w:t>
      </w:r>
      <w:r>
        <w:rPr>
          <w:rFonts w:ascii="仿宋" w:eastAsia="仿宋" w:hAnsi="仿宋" w:cs="仿宋"/>
          <w:sz w:val="32"/>
          <w:szCs w:val="32"/>
        </w:rPr>
        <w:t>一线治疗距诊断时间＜1年</w:t>
      </w:r>
      <w:r>
        <w:rPr>
          <w:rFonts w:ascii="仿宋" w:eastAsia="仿宋" w:hAnsi="仿宋" w:cs="仿宋" w:hint="eastAsia"/>
          <w:sz w:val="32"/>
          <w:szCs w:val="32"/>
        </w:rPr>
        <w:t>、高钙血症。每项为1分。总分0分为低危人群，1-2分为中危人群，</w:t>
      </w:r>
      <w:r>
        <w:rPr>
          <w:rFonts w:ascii="宋体" w:hAnsi="宋体" w:cs="仿宋" w:hint="eastAsia"/>
          <w:sz w:val="32"/>
          <w:szCs w:val="32"/>
        </w:rPr>
        <w:t>≥</w:t>
      </w:r>
      <w:r>
        <w:rPr>
          <w:rFonts w:ascii="仿宋" w:eastAsia="仿宋" w:hAnsi="仿宋" w:cs="仿宋" w:hint="eastAsia"/>
          <w:sz w:val="32"/>
          <w:szCs w:val="32"/>
        </w:rPr>
        <w:t>3分为高危人群。</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3</w:t>
      </w:r>
      <w:r>
        <w:rPr>
          <w:rFonts w:ascii="仿宋" w:eastAsia="仿宋" w:hAnsi="仿宋" w:cs="仿宋"/>
          <w:sz w:val="32"/>
          <w:szCs w:val="32"/>
        </w:rPr>
        <w:t>.</w:t>
      </w:r>
      <w:r>
        <w:rPr>
          <w:rFonts w:ascii="仿宋" w:eastAsia="仿宋" w:hAnsi="仿宋" w:cs="仿宋" w:hint="eastAsia"/>
          <w:sz w:val="32"/>
          <w:szCs w:val="32"/>
        </w:rPr>
        <w:t>因部分患者使用免疫治疗可能会出现假性进展（</w:t>
      </w:r>
      <w:r>
        <w:rPr>
          <w:rFonts w:ascii="仿宋" w:eastAsia="仿宋" w:hAnsi="仿宋" w:hint="eastAsia"/>
          <w:color w:val="000000"/>
          <w:sz w:val="32"/>
          <w:szCs w:val="32"/>
        </w:rPr>
        <w:t>治疗最初数月内肿瘤出现短暂性增大或出现新的小病灶，随后肿瘤缩小甚至消失</w:t>
      </w:r>
      <w:r>
        <w:rPr>
          <w:rFonts w:ascii="仿宋" w:eastAsia="仿宋" w:hAnsi="仿宋" w:cs="仿宋" w:hint="eastAsia"/>
          <w:sz w:val="32"/>
          <w:szCs w:val="32"/>
        </w:rPr>
        <w:t>），故</w:t>
      </w:r>
      <w:r>
        <w:rPr>
          <w:rFonts w:ascii="仿宋" w:eastAsia="仿宋" w:hAnsi="仿宋" w:hint="eastAsia"/>
          <w:color w:val="000000"/>
          <w:sz w:val="32"/>
          <w:szCs w:val="32"/>
        </w:rPr>
        <w:t>只要观察到临床获益，应继续使用</w:t>
      </w:r>
      <w:r>
        <w:rPr>
          <w:rFonts w:ascii="仿宋" w:eastAsia="仿宋" w:hAnsi="仿宋" w:cs="仿宋" w:hint="eastAsia"/>
          <w:sz w:val="32"/>
          <w:szCs w:val="32"/>
        </w:rPr>
        <w:t>纳武利尤单抗联合伊匹单抗或纳武利尤单抗单药</w:t>
      </w:r>
      <w:r>
        <w:rPr>
          <w:rFonts w:ascii="仿宋" w:eastAsia="仿宋" w:hAnsi="仿宋" w:hint="eastAsia"/>
          <w:color w:val="000000"/>
          <w:sz w:val="32"/>
          <w:szCs w:val="32"/>
        </w:rPr>
        <w:t>治疗至明确疾病进展或发生不可接受的毒性。如果患者临床症状稳定，即使有疾病进展的初步证据，但基于总体临床获益的判断，</w:t>
      </w:r>
      <w:r>
        <w:rPr>
          <w:rFonts w:ascii="仿宋" w:eastAsia="仿宋" w:hAnsi="仿宋" w:hint="eastAsia"/>
          <w:color w:val="000000"/>
          <w:sz w:val="32"/>
          <w:szCs w:val="32"/>
        </w:rPr>
        <w:lastRenderedPageBreak/>
        <w:t>可考虑继续应用本品治疗，直至证实疾病进展。</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4</w:t>
      </w:r>
      <w:r>
        <w:rPr>
          <w:rFonts w:ascii="仿宋" w:eastAsia="仿宋" w:hAnsi="仿宋" w:cs="仿宋"/>
          <w:sz w:val="32"/>
          <w:szCs w:val="32"/>
        </w:rPr>
        <w:t>.</w:t>
      </w:r>
      <w:r>
        <w:rPr>
          <w:rFonts w:ascii="仿宋" w:eastAsia="仿宋" w:hAnsi="仿宋" w:cs="仿宋" w:hint="eastAsia"/>
          <w:sz w:val="32"/>
          <w:szCs w:val="32"/>
        </w:rPr>
        <w:t>根据个体患者的安全性和耐受性，可暂停给药或停药。不建议增加或减少剂量。</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5.</w:t>
      </w:r>
      <w:r>
        <w:rPr>
          <w:rFonts w:ascii="仿宋" w:eastAsia="仿宋" w:hAnsi="仿宋" w:hint="eastAsia"/>
          <w:color w:val="000000"/>
          <w:sz w:val="32"/>
          <w:szCs w:val="32"/>
        </w:rPr>
        <w:t>根据副反应判断其与药物纳武利尤单抗及伊匹单抗的相关性。如发生4级或复发性3级，虽然进行治疗调整但仍持续存在2级或3级不良反应，</w:t>
      </w:r>
      <w:r>
        <w:rPr>
          <w:rFonts w:ascii="仿宋" w:eastAsia="仿宋" w:hAnsi="仿宋" w:cs="仿宋" w:hint="eastAsia"/>
          <w:sz w:val="32"/>
          <w:szCs w:val="32"/>
        </w:rPr>
        <w:t>应充分分析引发该副反应的可能的药物，可能需要永久性停用双抗或纳武利尤单抗或伊匹单抗。</w:t>
      </w:r>
    </w:p>
    <w:p w:rsidR="00B23A40" w:rsidRDefault="00DD1A0D">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sz w:val="32"/>
          <w:szCs w:val="32"/>
        </w:rPr>
        <w:t>.</w:t>
      </w:r>
      <w:r>
        <w:rPr>
          <w:rFonts w:ascii="仿宋" w:eastAsia="仿宋" w:hAnsi="仿宋" w:cs="仿宋" w:hint="eastAsia"/>
          <w:sz w:val="32"/>
          <w:szCs w:val="32"/>
        </w:rPr>
        <w:t>老年患者数据有限，轻或中度肾功能损伤患者无需调整剂量。重度肾功能损伤患者的数据有限。</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7.</w:t>
      </w:r>
      <w:r>
        <w:rPr>
          <w:rFonts w:ascii="仿宋" w:eastAsia="仿宋" w:hAnsi="仿宋" w:cs="仿宋" w:hint="eastAsia"/>
          <w:sz w:val="32"/>
          <w:szCs w:val="32"/>
        </w:rPr>
        <w:t>轻肝功能损伤患者无需调整剂量，没有对中度、重度肝功能损伤患者进行本品的相关研究。</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8.</w:t>
      </w:r>
      <w:r>
        <w:rPr>
          <w:rFonts w:ascii="仿宋" w:eastAsia="仿宋" w:hAnsi="仿宋" w:cs="仿宋" w:hint="eastAsia"/>
          <w:sz w:val="32"/>
          <w:szCs w:val="32"/>
        </w:rPr>
        <w:t>纳武利尤单抗±伊匹单抗可引起免疫相关性不良反应。因为不良反应可能在免疫治疗期间或免疫治疗停止后的任何时间发生，应持续进行患者监测。</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9.</w:t>
      </w:r>
      <w:r>
        <w:rPr>
          <w:rFonts w:ascii="仿宋" w:eastAsia="仿宋" w:hAnsi="仿宋" w:hint="eastAsia"/>
          <w:color w:val="000000"/>
          <w:sz w:val="32"/>
          <w:szCs w:val="32"/>
        </w:rPr>
        <w:t>对于疑似免疫相关性不良反应，应进行充分的评估以确认病因或排除其他病因。根据不良反应的严重程度，暂停帕博利珠单抗治疗并给予糖皮质激素或非糖皮质激素性免疫抑制剂治疗。必要时与相关领域学科进行多学科诊疗。</w:t>
      </w:r>
    </w:p>
    <w:p w:rsidR="00B23A40" w:rsidRDefault="00B23A40">
      <w:pPr>
        <w:spacing w:line="360" w:lineRule="auto"/>
        <w:ind w:firstLineChars="200" w:firstLine="643"/>
        <w:jc w:val="center"/>
        <w:rPr>
          <w:rFonts w:ascii="仿宋" w:eastAsia="仿宋" w:hAnsi="仿宋" w:cs="Times New Roman"/>
          <w:b/>
          <w:bCs/>
          <w:sz w:val="32"/>
          <w:szCs w:val="32"/>
        </w:rPr>
      </w:pPr>
    </w:p>
    <w:p w:rsidR="00B23A40" w:rsidRDefault="00DD1A0D">
      <w:pPr>
        <w:spacing w:line="360" w:lineRule="auto"/>
        <w:ind w:firstLineChars="200" w:firstLine="883"/>
        <w:jc w:val="center"/>
        <w:rPr>
          <w:rFonts w:ascii="宋体" w:cs="Times New Roman"/>
          <w:b/>
          <w:bCs/>
          <w:sz w:val="44"/>
          <w:szCs w:val="44"/>
        </w:rPr>
      </w:pPr>
      <w:r>
        <w:rPr>
          <w:rFonts w:ascii="宋体" w:hAnsi="宋体" w:cs="宋体" w:hint="eastAsia"/>
          <w:b/>
          <w:bCs/>
          <w:sz w:val="44"/>
          <w:szCs w:val="44"/>
        </w:rPr>
        <w:t>乳腺癌用药</w:t>
      </w:r>
    </w:p>
    <w:p w:rsidR="00B23A40" w:rsidRDefault="00B23A40">
      <w:pPr>
        <w:spacing w:line="360" w:lineRule="auto"/>
        <w:ind w:firstLineChars="200" w:firstLine="643"/>
        <w:jc w:val="center"/>
        <w:rPr>
          <w:rFonts w:ascii="仿宋" w:eastAsia="仿宋" w:hAnsi="仿宋" w:cs="Times New Roman"/>
          <w:b/>
          <w:bCs/>
          <w:sz w:val="32"/>
          <w:szCs w:val="32"/>
        </w:rPr>
      </w:pPr>
    </w:p>
    <w:p w:rsidR="00B23A40" w:rsidRDefault="00DD1A0D">
      <w:pPr>
        <w:ind w:firstLineChars="200" w:firstLine="640"/>
        <w:rPr>
          <w:rFonts w:ascii="仿宋" w:eastAsia="仿宋" w:hAnsi="仿宋"/>
          <w:color w:val="000000"/>
          <w:sz w:val="32"/>
          <w:szCs w:val="32"/>
        </w:rPr>
      </w:pPr>
      <w:r>
        <w:rPr>
          <w:rFonts w:ascii="黑体" w:eastAsia="黑体" w:hAnsi="黑体" w:hint="eastAsia"/>
          <w:color w:val="000000"/>
          <w:sz w:val="32"/>
          <w:szCs w:val="32"/>
        </w:rPr>
        <w:lastRenderedPageBreak/>
        <w:t xml:space="preserve">一、曲妥珠单抗 </w:t>
      </w:r>
      <w:r>
        <w:rPr>
          <w:rFonts w:ascii="黑体" w:eastAsia="黑体" w:hAnsi="黑体"/>
          <w:color w:val="000000"/>
          <w:sz w:val="32"/>
          <w:szCs w:val="32"/>
        </w:rPr>
        <w:t>trastuzumab</w:t>
      </w:r>
    </w:p>
    <w:p w:rsidR="00B23A40" w:rsidRDefault="00DD1A0D">
      <w:pPr>
        <w:ind w:firstLineChars="200" w:firstLine="643"/>
        <w:rPr>
          <w:rFonts w:ascii="仿宋" w:eastAsia="仿宋" w:hAnsi="仿宋"/>
          <w:color w:val="000000"/>
          <w:sz w:val="32"/>
          <w:szCs w:val="32"/>
        </w:rPr>
      </w:pPr>
      <w:r>
        <w:rPr>
          <w:rFonts w:ascii="仿宋" w:eastAsia="仿宋" w:hAnsi="仿宋" w:hint="eastAsia"/>
          <w:b/>
          <w:color w:val="000000"/>
          <w:sz w:val="32"/>
          <w:szCs w:val="32"/>
        </w:rPr>
        <w:t>制剂与规格：</w:t>
      </w:r>
      <w:r>
        <w:rPr>
          <w:rFonts w:ascii="仿宋" w:eastAsia="仿宋" w:hAnsi="仿宋" w:hint="eastAsia"/>
          <w:color w:val="000000"/>
          <w:sz w:val="32"/>
          <w:szCs w:val="32"/>
        </w:rPr>
        <w:t>注射剂：440mg（20ml）/瓶</w:t>
      </w:r>
    </w:p>
    <w:p w:rsidR="00B23A40" w:rsidRDefault="00DD1A0D">
      <w:pPr>
        <w:ind w:firstLineChars="200" w:firstLine="643"/>
        <w:rPr>
          <w:rFonts w:ascii="仿宋" w:eastAsia="仿宋" w:hAnsi="仿宋"/>
          <w:b/>
          <w:color w:val="000000"/>
          <w:sz w:val="32"/>
          <w:szCs w:val="32"/>
        </w:rPr>
      </w:pPr>
      <w:r>
        <w:rPr>
          <w:rFonts w:ascii="仿宋" w:eastAsia="仿宋" w:hAnsi="仿宋" w:hint="eastAsia"/>
          <w:b/>
          <w:color w:val="000000"/>
          <w:sz w:val="32"/>
          <w:szCs w:val="32"/>
        </w:rPr>
        <w:t>适应证：</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1.复发转移性乳腺癌：本品适用于HER2阳性转移性乳腺癌，单药用于已接受过多个化疗方案的转移性乳腺癌；与紫杉醇或多西他赛等化疗药物联合，用于未接受化疗的转移性乳腺癌患者。</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2.乳腺癌辅助治疗：本品适用于肿瘤直径＞0.5cm的HER2阳性可手术乳腺癌的辅助治疗；对肿瘤直径＜0.5cm浸润性乳腺癌，需要结合其他因素考虑是否使用。曲妥珠单抗一般不与蒽环类药物联合使用，但可序贯使用；可与紫杉类及其他（环磷酰胺、卡铂等）化疗药物合用，还可与放疗、辅助内分泌治疗同时使用。</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3.乳腺癌新辅助治疗：与化疗联合新辅助治疗，继以辅助治疗，用于局部晚期（包括炎性）的HER2阳性乳腺癌。术后继续使用曲妥珠单抗总疗程为1年。</w:t>
      </w:r>
    </w:p>
    <w:p w:rsidR="00B23A40" w:rsidRDefault="00DD1A0D">
      <w:pPr>
        <w:ind w:firstLineChars="200" w:firstLine="643"/>
        <w:rPr>
          <w:rFonts w:ascii="仿宋" w:eastAsia="仿宋" w:hAnsi="仿宋"/>
          <w:b/>
          <w:color w:val="000000"/>
          <w:sz w:val="32"/>
          <w:szCs w:val="32"/>
        </w:rPr>
      </w:pPr>
      <w:r>
        <w:rPr>
          <w:rFonts w:ascii="仿宋" w:eastAsia="仿宋" w:hAnsi="仿宋" w:hint="eastAsia"/>
          <w:b/>
          <w:color w:val="000000"/>
          <w:sz w:val="32"/>
          <w:szCs w:val="32"/>
        </w:rPr>
        <w:t>合理用药要点：</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1.在接受曲妥珠单抗治疗前，应在有资质的病理实验室进行HER2检测，HER2阳性患者方可应用曲妥珠单抗治疗，HER2阳性的定义为IHC3+和/或FISH阳性。</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2.与蒽环类药物同期应用须慎重，可能增加心肌损伤，严重者会发生心力衰竭，应序贯使用或分别使用。</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3.临床实践中要对既往史、体格检查、心电图、超声心动图LVEF基线评估后，再开始应用曲妥珠单抗，使用期间应每3个月监测LVEF。若患者有无症状性心功能不全，监测频率应更高。出现下列情况时：（1）LVEF较治疗前绝对值下降大于等于15%。（2）LVEF低于正常范围并且较治疗前绝对数值下降大于等于10%，应暂停治疗，并跟踪监测LVEF结果，如4～8周内若LVEF回升至正常或LVEF较治疗前绝对值小于等于10%，可恢复使用曲妥珠单抗。LVEF持续下降（大于8周），或者3次以上因心肌病而停止曲妥珠单抗治疗，应永久停用曲妥珠单抗。</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4.多项临床研究证实，HER2阳性转移性乳腺癌患者，在其他化疗药物或内分泌药物治疗时，联合曲妥珠单抗可进一步增加临床获益。</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5.曲妥珠单抗治疗后进展的HER2阳性乳腺癌，也有证据证实继续使用曲妥珠单抗的临床获益。</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6.每周给药方案初次负荷剂量：建议本品的初次负荷量为4mg/kg。静脉输注90分钟以上。维持剂量：建议本品每周用量为2mg/kg。如初次负荷量可耐受，则此剂量可静脉输注30分钟。3周给药方案初始负荷剂量为8mg/kg，随后6mg/kg每三周给药一次。且重复6mg/kg每三周给药一次时输注时间约为90分钟。如果患者在首次输注时耐受性良好，后续输注可改为30分钟。疗程：乳腺癌患者术后使用曲妥</w:t>
      </w:r>
      <w:r>
        <w:rPr>
          <w:rFonts w:ascii="仿宋" w:eastAsia="仿宋" w:hAnsi="仿宋" w:hint="eastAsia"/>
          <w:color w:val="000000"/>
          <w:sz w:val="32"/>
          <w:szCs w:val="32"/>
        </w:rPr>
        <w:lastRenderedPageBreak/>
        <w:t>珠单抗辅助治疗时间为1年，不建议延长治疗时间。</w:t>
      </w:r>
    </w:p>
    <w:p w:rsidR="00B23A40" w:rsidRDefault="00DD1A0D">
      <w:p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二、拉帕替尼 l</w:t>
      </w:r>
      <w:r>
        <w:rPr>
          <w:rFonts w:ascii="黑体" w:eastAsia="黑体" w:hAnsi="黑体" w:cs="黑体"/>
          <w:sz w:val="32"/>
          <w:szCs w:val="32"/>
        </w:rPr>
        <w:t>apatinib</w:t>
      </w:r>
    </w:p>
    <w:p w:rsidR="00B23A40" w:rsidRDefault="00DD1A0D">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片剂：</w:t>
      </w:r>
      <w:r>
        <w:rPr>
          <w:rFonts w:ascii="仿宋" w:eastAsia="仿宋" w:hAnsi="仿宋" w:cs="仿宋"/>
          <w:sz w:val="32"/>
          <w:szCs w:val="32"/>
        </w:rPr>
        <w:t xml:space="preserve">0.25g </w:t>
      </w:r>
    </w:p>
    <w:p w:rsidR="00B23A40" w:rsidRDefault="00DD1A0D">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rPr>
        <w:t>适应证：</w:t>
      </w:r>
      <w:r>
        <w:rPr>
          <w:rFonts w:ascii="仿宋" w:eastAsia="仿宋" w:hAnsi="仿宋" w:cs="仿宋" w:hint="eastAsia"/>
          <w:sz w:val="32"/>
          <w:szCs w:val="32"/>
        </w:rPr>
        <w:t>拉帕替尼与卡培他滨联用，适用于</w:t>
      </w:r>
      <w:r>
        <w:rPr>
          <w:rFonts w:ascii="仿宋" w:eastAsia="仿宋" w:hAnsi="仿宋" w:cs="仿宋"/>
          <w:sz w:val="32"/>
          <w:szCs w:val="32"/>
        </w:rPr>
        <w:t>HER2</w:t>
      </w:r>
      <w:r>
        <w:rPr>
          <w:rFonts w:ascii="仿宋" w:eastAsia="仿宋" w:hAnsi="仿宋" w:cs="仿宋" w:hint="eastAsia"/>
          <w:sz w:val="32"/>
          <w:szCs w:val="32"/>
        </w:rPr>
        <w:t>过表达且既往接受过包括蒽环类、紫杉类和曲妥珠单抗治疗的晚期或者转移性乳腺癌患者的治疗。</w:t>
      </w:r>
    </w:p>
    <w:p w:rsidR="00B23A40" w:rsidRDefault="00DD1A0D">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考虑使用本药的患者需进行组织标本（原发灶或转移灶）的</w:t>
      </w:r>
      <w:r>
        <w:rPr>
          <w:rFonts w:ascii="仿宋" w:eastAsia="仿宋" w:hAnsi="仿宋" w:cs="仿宋"/>
          <w:sz w:val="32"/>
          <w:szCs w:val="32"/>
        </w:rPr>
        <w:t>HER2</w:t>
      </w:r>
      <w:r>
        <w:rPr>
          <w:rFonts w:ascii="仿宋" w:eastAsia="仿宋" w:hAnsi="仿宋" w:cs="仿宋" w:hint="eastAsia"/>
          <w:sz w:val="32"/>
          <w:szCs w:val="32"/>
        </w:rPr>
        <w:t>检测，无论是原发灶还是转移灶，需</w:t>
      </w:r>
      <w:r>
        <w:rPr>
          <w:rFonts w:ascii="仿宋" w:eastAsia="仿宋" w:hAnsi="仿宋" w:cs="仿宋"/>
          <w:sz w:val="32"/>
          <w:szCs w:val="32"/>
        </w:rPr>
        <w:t>HER2</w:t>
      </w:r>
      <w:r>
        <w:rPr>
          <w:rFonts w:ascii="仿宋" w:eastAsia="仿宋" w:hAnsi="仿宋" w:cs="仿宋" w:hint="eastAsia"/>
          <w:sz w:val="32"/>
          <w:szCs w:val="32"/>
        </w:rPr>
        <w:t>免疫组化</w:t>
      </w:r>
      <w:r>
        <w:rPr>
          <w:rFonts w:ascii="仿宋" w:eastAsia="仿宋" w:hAnsi="仿宋" w:cs="仿宋"/>
          <w:sz w:val="32"/>
          <w:szCs w:val="32"/>
        </w:rPr>
        <w:t>3+</w:t>
      </w:r>
      <w:r>
        <w:rPr>
          <w:rFonts w:ascii="仿宋" w:eastAsia="仿宋" w:hAnsi="仿宋" w:cs="仿宋" w:hint="eastAsia"/>
          <w:sz w:val="32"/>
          <w:szCs w:val="32"/>
        </w:rPr>
        <w:t>或</w:t>
      </w:r>
      <w:r>
        <w:rPr>
          <w:rFonts w:ascii="仿宋" w:eastAsia="仿宋" w:hAnsi="仿宋" w:cs="仿宋"/>
          <w:sz w:val="32"/>
          <w:szCs w:val="32"/>
        </w:rPr>
        <w:t>FISH</w:t>
      </w:r>
      <w:r>
        <w:rPr>
          <w:rFonts w:ascii="仿宋" w:eastAsia="仿宋" w:hAnsi="仿宋" w:cs="仿宋" w:hint="eastAsia"/>
          <w:sz w:val="32"/>
          <w:szCs w:val="32"/>
        </w:rPr>
        <w:t>阳性。</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仅适用于复发转移患者，原则上不推荐一线使用，除非是患者有曲妥珠单抗的禁忌证或参加新药临床试验。</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本品单独使用时每次</w:t>
      </w:r>
      <w:r>
        <w:rPr>
          <w:rFonts w:ascii="仿宋" w:eastAsia="仿宋" w:hAnsi="仿宋" w:cs="仿宋"/>
          <w:sz w:val="32"/>
          <w:szCs w:val="32"/>
        </w:rPr>
        <w:t>1.25g</w:t>
      </w:r>
      <w:r>
        <w:rPr>
          <w:rFonts w:ascii="仿宋" w:eastAsia="仿宋" w:hAnsi="仿宋" w:cs="仿宋" w:hint="eastAsia"/>
          <w:sz w:val="32"/>
          <w:szCs w:val="32"/>
        </w:rPr>
        <w:t>，每日一次，第</w:t>
      </w:r>
      <w:r>
        <w:rPr>
          <w:rFonts w:ascii="仿宋" w:eastAsia="仿宋" w:hAnsi="仿宋" w:cs="仿宋"/>
          <w:sz w:val="32"/>
          <w:szCs w:val="32"/>
        </w:rPr>
        <w:t>1</w:t>
      </w:r>
      <w:r>
        <w:rPr>
          <w:rFonts w:ascii="仿宋" w:eastAsia="仿宋" w:hAnsi="仿宋" w:cs="仿宋" w:hint="eastAsia"/>
          <w:sz w:val="32"/>
          <w:szCs w:val="32"/>
        </w:rPr>
        <w:t>～</w:t>
      </w:r>
      <w:r>
        <w:rPr>
          <w:rFonts w:ascii="仿宋" w:eastAsia="仿宋" w:hAnsi="仿宋" w:cs="仿宋"/>
          <w:sz w:val="32"/>
          <w:szCs w:val="32"/>
        </w:rPr>
        <w:t>21</w:t>
      </w:r>
      <w:r>
        <w:rPr>
          <w:rFonts w:ascii="仿宋" w:eastAsia="仿宋" w:hAnsi="仿宋" w:cs="仿宋" w:hint="eastAsia"/>
          <w:sz w:val="32"/>
          <w:szCs w:val="32"/>
        </w:rPr>
        <w:t>天连续服用。与卡培他滨联用时，拉帕替尼的推荐剂量同上，每日一次，每</w:t>
      </w:r>
      <w:r>
        <w:rPr>
          <w:rFonts w:ascii="仿宋" w:eastAsia="仿宋" w:hAnsi="仿宋" w:cs="仿宋"/>
          <w:sz w:val="32"/>
          <w:szCs w:val="32"/>
        </w:rPr>
        <w:t>21</w:t>
      </w:r>
      <w:r>
        <w:rPr>
          <w:rFonts w:ascii="仿宋" w:eastAsia="仿宋" w:hAnsi="仿宋" w:cs="仿宋" w:hint="eastAsia"/>
          <w:sz w:val="32"/>
          <w:szCs w:val="32"/>
        </w:rPr>
        <w:t>天</w:t>
      </w:r>
      <w:r>
        <w:rPr>
          <w:rFonts w:ascii="仿宋" w:eastAsia="仿宋" w:hAnsi="仿宋" w:cs="仿宋"/>
          <w:sz w:val="32"/>
          <w:szCs w:val="32"/>
        </w:rPr>
        <w:t>1</w:t>
      </w:r>
      <w:r>
        <w:rPr>
          <w:rFonts w:ascii="仿宋" w:eastAsia="仿宋" w:hAnsi="仿宋" w:cs="仿宋" w:hint="eastAsia"/>
          <w:sz w:val="32"/>
          <w:szCs w:val="32"/>
        </w:rPr>
        <w:t>个周期，建议将每日剂量一次性服用，不推荐分次服用。应在餐前至少</w:t>
      </w:r>
      <w:r>
        <w:rPr>
          <w:rFonts w:ascii="仿宋" w:eastAsia="仿宋" w:hAnsi="仿宋" w:cs="仿宋"/>
          <w:sz w:val="32"/>
          <w:szCs w:val="32"/>
        </w:rPr>
        <w:t>1</w:t>
      </w:r>
      <w:r>
        <w:rPr>
          <w:rFonts w:ascii="仿宋" w:eastAsia="仿宋" w:hAnsi="仿宋" w:cs="仿宋" w:hint="eastAsia"/>
          <w:sz w:val="32"/>
          <w:szCs w:val="32"/>
        </w:rPr>
        <w:t>小时，或餐后至少</w:t>
      </w:r>
      <w:r>
        <w:rPr>
          <w:rFonts w:ascii="仿宋" w:eastAsia="仿宋" w:hAnsi="仿宋" w:cs="仿宋"/>
          <w:sz w:val="32"/>
          <w:szCs w:val="32"/>
        </w:rPr>
        <w:t>1</w:t>
      </w:r>
      <w:r>
        <w:rPr>
          <w:rFonts w:ascii="仿宋" w:eastAsia="仿宋" w:hAnsi="仿宋" w:cs="仿宋" w:hint="eastAsia"/>
          <w:sz w:val="32"/>
          <w:szCs w:val="32"/>
        </w:rPr>
        <w:t>小时服用。卡培他滨推荐剂量为</w:t>
      </w:r>
      <w:r>
        <w:rPr>
          <w:rFonts w:ascii="仿宋" w:eastAsia="仿宋" w:hAnsi="仿宋" w:cs="仿宋"/>
          <w:sz w:val="32"/>
          <w:szCs w:val="32"/>
        </w:rPr>
        <w:t>2g/</w:t>
      </w:r>
      <w:r>
        <w:rPr>
          <w:rFonts w:ascii="仿宋" w:eastAsia="仿宋" w:hAnsi="仿宋" w:cs="仿宋" w:hint="eastAsia"/>
          <w:sz w:val="32"/>
          <w:szCs w:val="32"/>
        </w:rPr>
        <w:t>（</w:t>
      </w:r>
      <w:r>
        <w:rPr>
          <w:rFonts w:ascii="仿宋" w:eastAsia="仿宋" w:hAnsi="仿宋" w:cs="仿宋"/>
          <w:sz w:val="32"/>
          <w:szCs w:val="32"/>
        </w:rPr>
        <w:t>m</w:t>
      </w:r>
      <w:r>
        <w:rPr>
          <w:rFonts w:ascii="仿宋" w:eastAsia="仿宋" w:hAnsi="仿宋" w:cs="仿宋"/>
          <w:sz w:val="32"/>
          <w:szCs w:val="32"/>
          <w:vertAlign w:val="superscript"/>
        </w:rPr>
        <w:t>2</w:t>
      </w:r>
      <w:r>
        <w:rPr>
          <w:rFonts w:ascii="Segoe UI Emoji" w:eastAsia="仿宋" w:hAnsi="Segoe UI Emoji" w:cs="Segoe UI Emoji"/>
          <w:sz w:val="32"/>
          <w:szCs w:val="32"/>
        </w:rPr>
        <w:t>▪</w:t>
      </w:r>
      <w:r>
        <w:rPr>
          <w:rFonts w:ascii="仿宋" w:eastAsia="仿宋" w:hAnsi="仿宋" w:cs="仿宋"/>
          <w:sz w:val="32"/>
          <w:szCs w:val="32"/>
        </w:rPr>
        <w:t>d</w:t>
      </w:r>
      <w:r>
        <w:rPr>
          <w:rFonts w:ascii="仿宋" w:eastAsia="仿宋" w:hAnsi="仿宋" w:cs="仿宋" w:hint="eastAsia"/>
          <w:sz w:val="32"/>
          <w:szCs w:val="32"/>
        </w:rPr>
        <w:t>），分</w:t>
      </w:r>
      <w:r>
        <w:rPr>
          <w:rFonts w:ascii="仿宋" w:eastAsia="仿宋" w:hAnsi="仿宋" w:cs="仿宋"/>
          <w:sz w:val="32"/>
          <w:szCs w:val="32"/>
        </w:rPr>
        <w:t>2</w:t>
      </w:r>
      <w:r>
        <w:rPr>
          <w:rFonts w:ascii="仿宋" w:eastAsia="仿宋" w:hAnsi="仿宋" w:cs="仿宋" w:hint="eastAsia"/>
          <w:sz w:val="32"/>
          <w:szCs w:val="32"/>
        </w:rPr>
        <w:t>次口服。间隔约</w:t>
      </w:r>
      <w:r>
        <w:rPr>
          <w:rFonts w:ascii="仿宋" w:eastAsia="仿宋" w:hAnsi="仿宋" w:cs="仿宋"/>
          <w:sz w:val="32"/>
          <w:szCs w:val="32"/>
        </w:rPr>
        <w:t>12</w:t>
      </w:r>
      <w:r>
        <w:rPr>
          <w:rFonts w:ascii="仿宋" w:eastAsia="仿宋" w:hAnsi="仿宋" w:cs="仿宋" w:hint="eastAsia"/>
          <w:sz w:val="32"/>
          <w:szCs w:val="32"/>
        </w:rPr>
        <w:t>小时，连服</w:t>
      </w:r>
      <w:r>
        <w:rPr>
          <w:rFonts w:ascii="仿宋" w:eastAsia="仿宋" w:hAnsi="仿宋" w:cs="仿宋"/>
          <w:sz w:val="32"/>
          <w:szCs w:val="32"/>
        </w:rPr>
        <w:t>14</w:t>
      </w:r>
      <w:r>
        <w:rPr>
          <w:rFonts w:ascii="仿宋" w:eastAsia="仿宋" w:hAnsi="仿宋" w:cs="仿宋" w:hint="eastAsia"/>
          <w:sz w:val="32"/>
          <w:szCs w:val="32"/>
        </w:rPr>
        <w:t>天，休息</w:t>
      </w:r>
      <w:r>
        <w:rPr>
          <w:rFonts w:ascii="仿宋" w:eastAsia="仿宋" w:hAnsi="仿宋" w:cs="仿宋"/>
          <w:sz w:val="32"/>
          <w:szCs w:val="32"/>
        </w:rPr>
        <w:t>7</w:t>
      </w:r>
      <w:r>
        <w:rPr>
          <w:rFonts w:ascii="仿宋" w:eastAsia="仿宋" w:hAnsi="仿宋" w:cs="仿宋" w:hint="eastAsia"/>
          <w:sz w:val="32"/>
          <w:szCs w:val="32"/>
        </w:rPr>
        <w:t>天，</w:t>
      </w:r>
      <w:r>
        <w:rPr>
          <w:rFonts w:ascii="仿宋" w:eastAsia="仿宋" w:hAnsi="仿宋" w:cs="仿宋"/>
          <w:sz w:val="32"/>
          <w:szCs w:val="32"/>
        </w:rPr>
        <w:t>21</w:t>
      </w:r>
      <w:r>
        <w:rPr>
          <w:rFonts w:ascii="仿宋" w:eastAsia="仿宋" w:hAnsi="仿宋" w:cs="仿宋" w:hint="eastAsia"/>
          <w:sz w:val="32"/>
          <w:szCs w:val="32"/>
        </w:rPr>
        <w:t>天为一个周期。卡培他滨应和食物同时服用，或餐后</w:t>
      </w:r>
      <w:r>
        <w:rPr>
          <w:rFonts w:ascii="仿宋" w:eastAsia="仿宋" w:hAnsi="仿宋" w:cs="仿宋"/>
          <w:sz w:val="32"/>
          <w:szCs w:val="32"/>
        </w:rPr>
        <w:t>30</w:t>
      </w:r>
      <w:r>
        <w:rPr>
          <w:rFonts w:ascii="仿宋" w:eastAsia="仿宋" w:hAnsi="仿宋" w:cs="仿宋" w:hint="eastAsia"/>
          <w:sz w:val="32"/>
          <w:szCs w:val="32"/>
        </w:rPr>
        <w:t>分钟内服用。</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主要不良反应为腹泻和皮疹，腹泻可对症止泻，用药期间避免直接日晒，外出注意防晒。使用本品可发生心脏毒性，主要表现为</w:t>
      </w:r>
      <w:r>
        <w:rPr>
          <w:rFonts w:ascii="仿宋" w:eastAsia="仿宋" w:hAnsi="仿宋" w:cs="仿宋"/>
          <w:sz w:val="32"/>
          <w:szCs w:val="32"/>
        </w:rPr>
        <w:t>LVEF</w:t>
      </w:r>
      <w:r>
        <w:rPr>
          <w:rFonts w:ascii="仿宋" w:eastAsia="仿宋" w:hAnsi="仿宋" w:cs="仿宋" w:hint="eastAsia"/>
          <w:sz w:val="32"/>
          <w:szCs w:val="32"/>
        </w:rPr>
        <w:t>减低，建议治疗前评估</w:t>
      </w:r>
      <w:r>
        <w:rPr>
          <w:rFonts w:ascii="仿宋" w:eastAsia="仿宋" w:hAnsi="仿宋" w:cs="仿宋"/>
          <w:sz w:val="32"/>
          <w:szCs w:val="32"/>
        </w:rPr>
        <w:t>LVEF</w:t>
      </w:r>
      <w:r>
        <w:rPr>
          <w:rFonts w:ascii="仿宋" w:eastAsia="仿宋" w:hAnsi="仿宋" w:cs="仿宋" w:hint="eastAsia"/>
          <w:sz w:val="32"/>
          <w:szCs w:val="32"/>
        </w:rPr>
        <w:t>，治疗中</w:t>
      </w:r>
      <w:r>
        <w:rPr>
          <w:rFonts w:ascii="仿宋" w:eastAsia="仿宋" w:hAnsi="仿宋" w:cs="仿宋" w:hint="eastAsia"/>
          <w:sz w:val="32"/>
          <w:szCs w:val="32"/>
        </w:rPr>
        <w:lastRenderedPageBreak/>
        <w:t>定期检测</w:t>
      </w:r>
      <w:r>
        <w:rPr>
          <w:rFonts w:ascii="仿宋" w:eastAsia="仿宋" w:hAnsi="仿宋" w:cs="仿宋"/>
          <w:sz w:val="32"/>
          <w:szCs w:val="32"/>
        </w:rPr>
        <w:t>LVEF</w:t>
      </w:r>
      <w:r>
        <w:rPr>
          <w:rFonts w:ascii="仿宋" w:eastAsia="仿宋" w:hAnsi="仿宋" w:cs="仿宋" w:hint="eastAsia"/>
          <w:sz w:val="32"/>
          <w:szCs w:val="32"/>
        </w:rPr>
        <w:t>，若</w:t>
      </w:r>
      <w:r>
        <w:rPr>
          <w:rFonts w:ascii="仿宋" w:eastAsia="仿宋" w:hAnsi="仿宋" w:cs="仿宋"/>
          <w:sz w:val="32"/>
          <w:szCs w:val="32"/>
        </w:rPr>
        <w:t>LVEF</w:t>
      </w:r>
      <w:r>
        <w:rPr>
          <w:rFonts w:ascii="仿宋" w:eastAsia="仿宋" w:hAnsi="仿宋" w:cs="仿宋" w:hint="eastAsia"/>
          <w:sz w:val="32"/>
          <w:szCs w:val="32"/>
        </w:rPr>
        <w:t>下降至正常值下限，或出现</w:t>
      </w:r>
      <w:r>
        <w:rPr>
          <w:rFonts w:ascii="仿宋" w:eastAsia="仿宋" w:hAnsi="仿宋" w:cs="仿宋"/>
          <w:sz w:val="32"/>
          <w:szCs w:val="32"/>
        </w:rPr>
        <w:t>2</w:t>
      </w:r>
      <w:r>
        <w:rPr>
          <w:rFonts w:ascii="仿宋" w:eastAsia="仿宋" w:hAnsi="仿宋" w:cs="仿宋" w:hint="eastAsia"/>
          <w:sz w:val="32"/>
          <w:szCs w:val="32"/>
        </w:rPr>
        <w:t>级或</w:t>
      </w:r>
      <w:r>
        <w:rPr>
          <w:rFonts w:ascii="仿宋" w:eastAsia="仿宋" w:hAnsi="仿宋" w:cs="仿宋"/>
          <w:sz w:val="32"/>
          <w:szCs w:val="32"/>
        </w:rPr>
        <w:t>2</w:t>
      </w:r>
      <w:r>
        <w:rPr>
          <w:rFonts w:ascii="仿宋" w:eastAsia="仿宋" w:hAnsi="仿宋" w:cs="仿宋" w:hint="eastAsia"/>
          <w:sz w:val="32"/>
          <w:szCs w:val="32"/>
        </w:rPr>
        <w:t>级以上与</w:t>
      </w:r>
      <w:r>
        <w:rPr>
          <w:rFonts w:ascii="仿宋" w:eastAsia="仿宋" w:hAnsi="仿宋" w:cs="仿宋"/>
          <w:sz w:val="32"/>
          <w:szCs w:val="32"/>
        </w:rPr>
        <w:t>LVEF</w:t>
      </w:r>
      <w:r>
        <w:rPr>
          <w:rFonts w:ascii="仿宋" w:eastAsia="仿宋" w:hAnsi="仿宋" w:cs="仿宋" w:hint="eastAsia"/>
          <w:sz w:val="32"/>
          <w:szCs w:val="32"/>
        </w:rPr>
        <w:t>下降相关的症状，应停药。若恢复至正常，且患者无症状，可以在停用至少</w:t>
      </w:r>
      <w:r>
        <w:rPr>
          <w:rFonts w:ascii="仿宋" w:eastAsia="仿宋" w:hAnsi="仿宋" w:cs="仿宋"/>
          <w:sz w:val="32"/>
          <w:szCs w:val="32"/>
        </w:rPr>
        <w:t>2</w:t>
      </w:r>
      <w:r>
        <w:rPr>
          <w:rFonts w:ascii="仿宋" w:eastAsia="仿宋" w:hAnsi="仿宋" w:cs="仿宋" w:hint="eastAsia"/>
          <w:sz w:val="32"/>
          <w:szCs w:val="32"/>
        </w:rPr>
        <w:t>周后将本品减量使用（每天</w:t>
      </w:r>
      <w:r>
        <w:rPr>
          <w:rFonts w:ascii="仿宋" w:eastAsia="仿宋" w:hAnsi="仿宋" w:cs="仿宋"/>
          <w:sz w:val="32"/>
          <w:szCs w:val="32"/>
        </w:rPr>
        <w:t>1g</w:t>
      </w:r>
      <w:r>
        <w:rPr>
          <w:rFonts w:ascii="仿宋" w:eastAsia="仿宋" w:hAnsi="仿宋" w:cs="仿宋" w:hint="eastAsia"/>
          <w:sz w:val="32"/>
          <w:szCs w:val="32"/>
        </w:rPr>
        <w:t>与卡培他滨联用）。部分病人还可出现肝功能损伤。</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5.</w:t>
      </w:r>
      <w:r>
        <w:rPr>
          <w:rFonts w:ascii="仿宋" w:eastAsia="仿宋" w:hAnsi="仿宋" w:cs="仿宋" w:hint="eastAsia"/>
          <w:sz w:val="32"/>
          <w:szCs w:val="32"/>
        </w:rPr>
        <w:t>如果患者漏服了某一天的剂量，第二天的剂量不要加倍，在下一次服药时间按计划继续服用即可。治疗应当持续至疾病进展或出现不能耐受的毒性反应。</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6.</w:t>
      </w:r>
      <w:r>
        <w:rPr>
          <w:rFonts w:ascii="仿宋" w:eastAsia="仿宋" w:hAnsi="仿宋" w:cs="仿宋" w:hint="eastAsia"/>
          <w:sz w:val="32"/>
          <w:szCs w:val="32"/>
        </w:rPr>
        <w:t>本品主要经</w:t>
      </w:r>
      <w:r>
        <w:rPr>
          <w:rFonts w:ascii="仿宋" w:eastAsia="仿宋" w:hAnsi="仿宋" w:cs="仿宋"/>
          <w:sz w:val="32"/>
          <w:szCs w:val="32"/>
        </w:rPr>
        <w:t>CYP3A4</w:t>
      </w:r>
      <w:r>
        <w:rPr>
          <w:rFonts w:ascii="仿宋" w:eastAsia="仿宋" w:hAnsi="仿宋" w:cs="仿宋" w:hint="eastAsia"/>
          <w:sz w:val="32"/>
          <w:szCs w:val="32"/>
        </w:rPr>
        <w:t>代谢。服药期间禁食葡萄柚、葡萄柚果汁，与</w:t>
      </w:r>
      <w:r>
        <w:rPr>
          <w:rFonts w:ascii="仿宋" w:eastAsia="仿宋" w:hAnsi="仿宋" w:cs="仿宋"/>
          <w:sz w:val="32"/>
          <w:szCs w:val="32"/>
        </w:rPr>
        <w:t>CYP3A4</w:t>
      </w:r>
      <w:r>
        <w:rPr>
          <w:rFonts w:ascii="仿宋" w:eastAsia="仿宋" w:hAnsi="仿宋" w:cs="仿宋" w:hint="eastAsia"/>
          <w:sz w:val="32"/>
          <w:szCs w:val="32"/>
        </w:rPr>
        <w:t>抑制剂或诱导剂联合给药时需谨慎，谨慎与质子泵抑制剂结合用。</w:t>
      </w:r>
    </w:p>
    <w:p w:rsidR="00B23A40" w:rsidRDefault="00DD1A0D">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sz w:val="32"/>
          <w:szCs w:val="32"/>
        </w:rPr>
        <w:t>.</w:t>
      </w:r>
      <w:r>
        <w:rPr>
          <w:rFonts w:ascii="仿宋" w:eastAsia="仿宋" w:hAnsi="仿宋" w:cs="仿宋" w:hint="eastAsia"/>
          <w:sz w:val="32"/>
          <w:szCs w:val="32"/>
        </w:rPr>
        <w:t>也有临床研究证明，拉帕替尼联合其他化疗药物或内分泌治疗药物可使病人临床获益。</w:t>
      </w:r>
    </w:p>
    <w:p w:rsidR="00B23A40" w:rsidRDefault="00DD1A0D">
      <w:pPr>
        <w:ind w:firstLineChars="200" w:firstLine="640"/>
        <w:rPr>
          <w:rFonts w:ascii="黑体" w:eastAsia="黑体" w:hAnsi="黑体"/>
          <w:color w:val="000000"/>
          <w:sz w:val="32"/>
          <w:szCs w:val="32"/>
        </w:rPr>
      </w:pPr>
      <w:r>
        <w:rPr>
          <w:rFonts w:ascii="黑体" w:eastAsia="黑体" w:hAnsi="黑体" w:hint="eastAsia"/>
          <w:color w:val="000000"/>
          <w:sz w:val="32"/>
          <w:szCs w:val="32"/>
        </w:rPr>
        <w:t xml:space="preserve">三、吡咯替尼 </w:t>
      </w:r>
      <w:r>
        <w:rPr>
          <w:rFonts w:ascii="黑体" w:eastAsia="黑体" w:hAnsi="黑体"/>
          <w:color w:val="000000"/>
          <w:sz w:val="32"/>
          <w:szCs w:val="32"/>
        </w:rPr>
        <w:t>pyrotinib</w:t>
      </w:r>
    </w:p>
    <w:p w:rsidR="00B23A40" w:rsidRDefault="00DD1A0D">
      <w:pPr>
        <w:ind w:firstLineChars="200" w:firstLine="643"/>
        <w:rPr>
          <w:rFonts w:ascii="仿宋" w:eastAsia="仿宋" w:hAnsi="仿宋"/>
          <w:color w:val="000000"/>
          <w:sz w:val="32"/>
          <w:szCs w:val="32"/>
        </w:rPr>
      </w:pPr>
      <w:r>
        <w:rPr>
          <w:rFonts w:ascii="仿宋" w:eastAsia="仿宋" w:hAnsi="仿宋" w:hint="eastAsia"/>
          <w:b/>
          <w:color w:val="000000"/>
          <w:sz w:val="32"/>
          <w:szCs w:val="32"/>
        </w:rPr>
        <w:t>制剂与规格：</w:t>
      </w:r>
      <w:r>
        <w:rPr>
          <w:rFonts w:ascii="仿宋" w:eastAsia="仿宋" w:hAnsi="仿宋" w:hint="eastAsia"/>
          <w:color w:val="000000"/>
          <w:sz w:val="32"/>
          <w:szCs w:val="32"/>
        </w:rPr>
        <w:t>片剂：80mg、160mg</w:t>
      </w:r>
    </w:p>
    <w:p w:rsidR="00B23A40" w:rsidRDefault="00DD1A0D">
      <w:pPr>
        <w:ind w:firstLineChars="200" w:firstLine="643"/>
        <w:rPr>
          <w:rFonts w:ascii="仿宋" w:eastAsia="仿宋" w:hAnsi="仿宋"/>
          <w:color w:val="000000"/>
          <w:sz w:val="32"/>
          <w:szCs w:val="32"/>
        </w:rPr>
      </w:pPr>
      <w:r>
        <w:rPr>
          <w:rFonts w:ascii="仿宋" w:eastAsia="仿宋" w:hAnsi="仿宋" w:hint="eastAsia"/>
          <w:b/>
          <w:color w:val="000000"/>
          <w:sz w:val="32"/>
          <w:szCs w:val="32"/>
        </w:rPr>
        <w:t>适应证：</w:t>
      </w:r>
      <w:r>
        <w:rPr>
          <w:rFonts w:ascii="仿宋" w:eastAsia="仿宋" w:hAnsi="仿宋" w:hint="eastAsia"/>
          <w:color w:val="000000"/>
          <w:sz w:val="32"/>
          <w:szCs w:val="32"/>
        </w:rPr>
        <w:t>吡咯替尼联合卡培他滨，适用于治疗HER2阳性、既往未接受或接受过曲妥珠单抗的复发或转移性乳腺癌患者。使用吡咯替尼前患者应接受过蒽环类或紫杉类化疗。该适应证是基于一项128例既往接受或未接受过曲妥珠单抗治疗的复发或转移性乳腺癌的Ⅱ期临床试验的结果给予的有条件批准。该适应证的完全批准取决于正在进行的确证性试验证实本品在该人群中的临床获益。</w:t>
      </w:r>
    </w:p>
    <w:p w:rsidR="00B23A40" w:rsidRDefault="00DD1A0D">
      <w:pPr>
        <w:ind w:firstLineChars="200" w:firstLine="643"/>
        <w:rPr>
          <w:rFonts w:ascii="仿宋" w:eastAsia="仿宋" w:hAnsi="仿宋"/>
          <w:b/>
          <w:color w:val="000000"/>
          <w:sz w:val="32"/>
          <w:szCs w:val="32"/>
        </w:rPr>
      </w:pPr>
      <w:r>
        <w:rPr>
          <w:rFonts w:ascii="仿宋" w:eastAsia="仿宋" w:hAnsi="仿宋" w:hint="eastAsia"/>
          <w:b/>
          <w:color w:val="000000"/>
          <w:sz w:val="32"/>
          <w:szCs w:val="32"/>
        </w:rPr>
        <w:t>合理用药要点：</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1.在使用吡咯替尼治疗前，应使用经充分验证的检测方法进行HER2状态的检测。吡咯替尼仅可用于HER2阳性的乳腺癌患者。</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2.适用于HER2阳性复发或转移性乳腺癌患者。</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3.只要观察到临床获益，应继续吡咯替尼治疗，直至患者不能耐受或疾病进展。</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4.吡咯替尼推荐剂量为400mg，每日1次，餐后30分钟内口服，每天同一时间服药。连续服用，每21天为一个周期。如果患者漏服某一天的吡咯替尼，不需要补服，下一次按计划服药即可。</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5.治疗过程中如患者出现不良反应，可通过暂停给药、降低剂量或者停止给药进行管理。对于腹泻、皮肤不良反应可首先进行对症治疗并密切观察。一些持续存在的2级不良反应也可能需要多次暂停用药和/或下调剂量。如暂停给药后受试者仍有临床不可控制（即临床治疗或观察≤14天后仍存在，出现≥2次）的不良事件，则在暂停后恢复用药时应减少一个水平的剂量，吡咯替尼允许下调最低剂量为240mg。</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6.如合并使用CYP3A4强抑制剂和强诱导剂，应密切监测，结合临床观察考虑是否进行剂量调整。</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7.吡咯替尼主要经肝脏代谢，中、重度肝功能不全的患者不推荐使用。肾功能不全对吡咯替尼暴露影响非常有限，肾功能不全患者仍应在医师指导下谨慎使用吡咯替尼。</w:t>
      </w:r>
    </w:p>
    <w:p w:rsidR="00B23A40" w:rsidRDefault="00DD1A0D">
      <w:pPr>
        <w:ind w:firstLineChars="200" w:firstLine="640"/>
        <w:rPr>
          <w:rFonts w:ascii="仿宋" w:eastAsia="仿宋" w:hAnsi="仿宋"/>
          <w:color w:val="000000"/>
          <w:sz w:val="32"/>
          <w:szCs w:val="32"/>
        </w:rPr>
      </w:pPr>
      <w:r>
        <w:rPr>
          <w:rFonts w:ascii="仿宋" w:eastAsia="仿宋" w:hAnsi="仿宋"/>
          <w:color w:val="000000"/>
          <w:sz w:val="32"/>
          <w:szCs w:val="32"/>
        </w:rPr>
        <w:lastRenderedPageBreak/>
        <w:t>8.</w:t>
      </w:r>
      <w:r>
        <w:rPr>
          <w:rFonts w:ascii="仿宋" w:eastAsia="仿宋" w:hAnsi="仿宋" w:hint="eastAsia"/>
          <w:color w:val="000000"/>
          <w:sz w:val="32"/>
          <w:szCs w:val="32"/>
        </w:rPr>
        <w:t>腹泻是吡咯替尼临床试验中观察到的最常见的不良反应。治疗期间患者应关注排便性状和频率的变化，发现大便不成形后，尽早开始抗腹泻治疗，可选用洛哌丁胺或蒙脱石散。如出现持续的</w:t>
      </w:r>
      <w:r>
        <w:rPr>
          <w:rFonts w:ascii="仿宋" w:eastAsia="仿宋" w:hAnsi="仿宋"/>
          <w:color w:val="000000"/>
          <w:sz w:val="32"/>
          <w:szCs w:val="32"/>
        </w:rPr>
        <w:t>3</w:t>
      </w:r>
      <w:r>
        <w:rPr>
          <w:rFonts w:ascii="仿宋" w:eastAsia="仿宋" w:hAnsi="仿宋" w:hint="eastAsia"/>
          <w:color w:val="000000"/>
          <w:sz w:val="32"/>
          <w:szCs w:val="32"/>
        </w:rPr>
        <w:t>级腹泻、或</w:t>
      </w:r>
      <w:r>
        <w:rPr>
          <w:rFonts w:ascii="仿宋" w:eastAsia="仿宋" w:hAnsi="仿宋"/>
          <w:color w:val="000000"/>
          <w:sz w:val="32"/>
          <w:szCs w:val="32"/>
        </w:rPr>
        <w:t>1～2</w:t>
      </w:r>
      <w:r>
        <w:rPr>
          <w:rFonts w:ascii="仿宋" w:eastAsia="仿宋" w:hAnsi="仿宋" w:hint="eastAsia"/>
          <w:color w:val="000000"/>
          <w:sz w:val="32"/>
          <w:szCs w:val="32"/>
        </w:rPr>
        <w:t>级腹泻伴并发症（≥</w:t>
      </w:r>
      <w:r>
        <w:rPr>
          <w:rFonts w:ascii="仿宋" w:eastAsia="仿宋" w:hAnsi="仿宋"/>
          <w:color w:val="000000"/>
          <w:sz w:val="32"/>
          <w:szCs w:val="32"/>
        </w:rPr>
        <w:t>2</w:t>
      </w:r>
      <w:r>
        <w:rPr>
          <w:rFonts w:ascii="仿宋" w:eastAsia="仿宋" w:hAnsi="仿宋" w:hint="eastAsia"/>
          <w:color w:val="000000"/>
          <w:sz w:val="32"/>
          <w:szCs w:val="32"/>
        </w:rPr>
        <w:t>级的恶心、呕吐、发热、便血或脱水等）时，患者应立即联系医生并接受治疗上的指导，尽早开始对症治疗。发生腹泻后可根据剂量调整指导原则进行处理。对于治疗期间频繁发生腹泻的患者，应警惕发生严重腹泻的可能。</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9.尚缺乏吡咯替尼在18岁以下儿童和青少年患者中的安全性和有效性数据。</w:t>
      </w:r>
    </w:p>
    <w:p w:rsidR="00B23A40" w:rsidRDefault="00DD1A0D">
      <w:pPr>
        <w:ind w:firstLineChars="200" w:firstLine="640"/>
        <w:rPr>
          <w:rFonts w:ascii="黑体" w:eastAsia="黑体" w:hAnsi="黑体"/>
          <w:color w:val="000000"/>
          <w:sz w:val="32"/>
          <w:szCs w:val="32"/>
        </w:rPr>
      </w:pPr>
      <w:r>
        <w:rPr>
          <w:rFonts w:ascii="黑体" w:eastAsia="黑体" w:hAnsi="黑体" w:hint="eastAsia"/>
          <w:color w:val="000000"/>
          <w:sz w:val="32"/>
          <w:szCs w:val="32"/>
        </w:rPr>
        <w:t>四、帕妥珠单抗 p</w:t>
      </w:r>
      <w:r>
        <w:rPr>
          <w:rFonts w:ascii="黑体" w:eastAsia="黑体" w:hAnsi="黑体"/>
          <w:color w:val="000000"/>
          <w:sz w:val="32"/>
          <w:szCs w:val="32"/>
        </w:rPr>
        <w:t>ertuzumab</w:t>
      </w:r>
    </w:p>
    <w:p w:rsidR="00B23A40" w:rsidRDefault="00DD1A0D">
      <w:pPr>
        <w:ind w:firstLineChars="200" w:firstLine="643"/>
        <w:rPr>
          <w:rFonts w:ascii="仿宋" w:eastAsia="仿宋" w:hAnsi="仿宋"/>
          <w:color w:val="000000"/>
          <w:sz w:val="32"/>
          <w:szCs w:val="32"/>
        </w:rPr>
      </w:pPr>
      <w:r>
        <w:rPr>
          <w:rFonts w:ascii="仿宋" w:eastAsia="仿宋" w:hAnsi="仿宋" w:hint="eastAsia"/>
          <w:b/>
          <w:color w:val="000000"/>
          <w:sz w:val="32"/>
          <w:szCs w:val="32"/>
        </w:rPr>
        <w:t>制剂与规格：</w:t>
      </w:r>
      <w:r>
        <w:rPr>
          <w:rFonts w:ascii="仿宋" w:eastAsia="仿宋" w:hAnsi="仿宋" w:hint="eastAsia"/>
          <w:color w:val="000000"/>
          <w:sz w:val="32"/>
          <w:szCs w:val="32"/>
        </w:rPr>
        <w:t>注射液：420mg（14ml）/瓶</w:t>
      </w:r>
    </w:p>
    <w:p w:rsidR="00B23A40" w:rsidRDefault="00DD1A0D">
      <w:pPr>
        <w:ind w:firstLineChars="200" w:firstLine="643"/>
        <w:rPr>
          <w:rFonts w:ascii="仿宋" w:eastAsia="仿宋" w:hAnsi="仿宋"/>
          <w:b/>
          <w:color w:val="000000"/>
          <w:sz w:val="32"/>
          <w:szCs w:val="32"/>
        </w:rPr>
      </w:pPr>
      <w:r>
        <w:rPr>
          <w:rFonts w:ascii="仿宋" w:eastAsia="仿宋" w:hAnsi="仿宋" w:hint="eastAsia"/>
          <w:b/>
          <w:color w:val="000000"/>
          <w:sz w:val="32"/>
          <w:szCs w:val="32"/>
        </w:rPr>
        <w:t>适应证：</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1.乳腺癌辅助治疗：本品与曲妥珠单抗和化疗联合，用于高复发风险的HER2阳性早期乳腺癌患者的辅助治疗。帕妥珠单抗与曲妥珠单抗联合，还可与辅助内分泌治疗同时使用。</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2.乳腺癌新辅助治疗：本品与曲妥珠单抗和化疗联合，用于HER2阳性、局部晚期、炎性或早期乳腺癌患者（肿瘤直径＞2cm或淋巴结阳性）的新辅助治疗。</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3.复发转移性乳腺癌治疗：本品与曲妥珠单抗和紫杉类化疗药联合用于HER2阳性、转移性或不可切除的局部复发</w:t>
      </w:r>
      <w:r>
        <w:rPr>
          <w:rFonts w:ascii="仿宋" w:eastAsia="仿宋" w:hAnsi="仿宋" w:hint="eastAsia"/>
          <w:color w:val="000000"/>
          <w:sz w:val="32"/>
          <w:szCs w:val="32"/>
        </w:rPr>
        <w:lastRenderedPageBreak/>
        <w:t>性乳腺癌患者。患者既往针对转移性疾病应未接受过抗HER2治疗，或既往辅助治疗阶段接受过抗HER2治疗，停止抗HER2治疗后一年以上复发转移的患者。</w:t>
      </w:r>
    </w:p>
    <w:p w:rsidR="00B23A40" w:rsidRDefault="00DD1A0D">
      <w:pPr>
        <w:ind w:firstLineChars="200" w:firstLine="643"/>
        <w:rPr>
          <w:rFonts w:ascii="仿宋" w:eastAsia="仿宋" w:hAnsi="仿宋"/>
          <w:b/>
          <w:color w:val="000000"/>
          <w:sz w:val="32"/>
          <w:szCs w:val="32"/>
        </w:rPr>
      </w:pPr>
      <w:r>
        <w:rPr>
          <w:rFonts w:ascii="仿宋" w:eastAsia="仿宋" w:hAnsi="仿宋" w:hint="eastAsia"/>
          <w:b/>
          <w:color w:val="000000"/>
          <w:sz w:val="32"/>
          <w:szCs w:val="32"/>
        </w:rPr>
        <w:t>合理用药要点：</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1.接受帕妥珠单抗治疗的患者病灶组织标本，应在有资质的病理实验室进行HER2检测，HER2阳性患者方可应用，HER2阳性的定义为IHC3+和/或FISH阳性。</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2.帕妥珠单抗的推荐起始剂量为840mg，静脉输注60分钟，此后每3周给药一次，给药剂量为420mg，输注时间30～60分钟。在每次完成帕妥珠单抗输液后，建议观察30～60分钟。观察时间结束后方可给予后续曲妥珠单抗或化疗。</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3.帕妥珠单抗和曲妥珠单抗必须序贯给药，但先后顺序均可。在与帕妥珠单抗联合使用时，曲妥珠单抗的使用建议采用每3周一次使用；对于接受紫杉类药物治疗的患者，帕妥珠单抗和曲妥珠单抗给药应先于紫杉类药物；对于接受蒽环类药物治疗的患者，帕妥珠单抗和曲妥珠单抗应在完成完整蒽环类药物治疗方案后给予。</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4.帕妥珠单抗稀释于250ml的0.9％氯化钠中，不得使用5%葡萄糖溶液稀释帕妥珠单抗，同时也不得与其他药物混合或稀释。配置好后应轻轻倒置输液袋以混合溶液，避免起泡。</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5.用于术前新辅助治疗时，建议患者接受4～6个周期</w:t>
      </w:r>
      <w:r>
        <w:rPr>
          <w:rFonts w:ascii="仿宋" w:eastAsia="仿宋" w:hAnsi="仿宋" w:hint="eastAsia"/>
          <w:color w:val="000000"/>
          <w:sz w:val="32"/>
          <w:szCs w:val="32"/>
        </w:rPr>
        <w:lastRenderedPageBreak/>
        <w:t>的含帕妥珠单抗联合治疗。用于辅助治疗时（手术后），作为早期乳腺癌完整治疗方案的一部分（包括标准的蒽环类和/或紫杉类化疗），帕妥珠单抗应与曲妥珠单抗联合使用，疗程一年。用于复发转移性乳腺癌治疗时，帕妥珠单抗与曲妥珠单抗和紫杉类化疗药物联合使用，直至出现疾病进展或不可控制的毒性，即使终止化疗后，帕妥珠单抗与曲妥珠单抗的治疗也可继续。</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6.在首次接受帕妥珠单抗治疗之前评估LVEF，并在治疗期间予以定期评估（约4个周期见表4），以确保LVEF在正常范围内（＞50%）。如果LVEF下降并未改善，或者在后续评估中进一步下降，应考虑停用帕妥珠单抗及曲妥珠单抗。</w:t>
      </w:r>
    </w:p>
    <w:p w:rsidR="00B23A40" w:rsidRDefault="00DD1A0D">
      <w:pPr>
        <w:spacing w:line="360" w:lineRule="auto"/>
        <w:jc w:val="center"/>
        <w:rPr>
          <w:rFonts w:ascii="仿宋" w:eastAsia="仿宋" w:hAnsi="仿宋"/>
          <w:b/>
          <w:color w:val="000000"/>
        </w:rPr>
      </w:pPr>
      <w:r>
        <w:rPr>
          <w:rFonts w:ascii="仿宋" w:eastAsia="仿宋" w:hAnsi="仿宋" w:hint="eastAsia"/>
          <w:b/>
          <w:color w:val="000000"/>
        </w:rPr>
        <w:t>表6  左心室功能不全的帕妥珠单抗剂量推荐</w:t>
      </w:r>
    </w:p>
    <w:tbl>
      <w:tblPr>
        <w:tblW w:w="8362" w:type="dxa"/>
        <w:jc w:val="center"/>
        <w:tblLayout w:type="fixed"/>
        <w:tblCellMar>
          <w:top w:w="28" w:type="dxa"/>
          <w:left w:w="28" w:type="dxa"/>
          <w:bottom w:w="28" w:type="dxa"/>
          <w:right w:w="28" w:type="dxa"/>
        </w:tblCellMar>
        <w:tblLook w:val="04A0" w:firstRow="1" w:lastRow="0" w:firstColumn="1" w:lastColumn="0" w:noHBand="0" w:noVBand="1"/>
      </w:tblPr>
      <w:tblGrid>
        <w:gridCol w:w="1313"/>
        <w:gridCol w:w="1313"/>
        <w:gridCol w:w="1313"/>
        <w:gridCol w:w="1110"/>
        <w:gridCol w:w="1100"/>
        <w:gridCol w:w="10"/>
        <w:gridCol w:w="1101"/>
        <w:gridCol w:w="1102"/>
      </w:tblGrid>
      <w:tr w:rsidR="00B23A40">
        <w:trPr>
          <w:jc w:val="center"/>
        </w:trPr>
        <w:tc>
          <w:tcPr>
            <w:tcW w:w="1313" w:type="dxa"/>
            <w:tcBorders>
              <w:top w:val="single" w:sz="6" w:space="0" w:color="auto"/>
              <w:left w:val="single" w:sz="6" w:space="0" w:color="auto"/>
              <w:bottom w:val="single" w:sz="6" w:space="0" w:color="auto"/>
              <w:right w:val="single" w:sz="6" w:space="0" w:color="auto"/>
            </w:tcBorders>
          </w:tcPr>
          <w:p w:rsidR="00B23A40" w:rsidRDefault="00B23A40">
            <w:pPr>
              <w:spacing w:line="360" w:lineRule="auto"/>
              <w:jc w:val="center"/>
              <w:rPr>
                <w:rFonts w:ascii="仿宋" w:eastAsia="仿宋" w:hAnsi="仿宋"/>
                <w:color w:val="000000"/>
              </w:rPr>
            </w:pPr>
            <w:bookmarkStart w:id="1" w:name="OLE_LINK93"/>
            <w:bookmarkStart w:id="2" w:name="OLE_LINK94"/>
          </w:p>
        </w:tc>
        <w:tc>
          <w:tcPr>
            <w:tcW w:w="1313" w:type="dxa"/>
            <w:tcBorders>
              <w:top w:val="single" w:sz="6" w:space="0" w:color="auto"/>
              <w:left w:val="single" w:sz="6" w:space="0" w:color="auto"/>
              <w:bottom w:val="single" w:sz="6" w:space="0" w:color="auto"/>
              <w:right w:val="single" w:sz="6" w:space="0" w:color="auto"/>
            </w:tcBorders>
          </w:tcPr>
          <w:p w:rsidR="00B23A40" w:rsidRDefault="00DD1A0D">
            <w:pPr>
              <w:spacing w:line="360" w:lineRule="auto"/>
              <w:jc w:val="left"/>
              <w:rPr>
                <w:rFonts w:ascii="仿宋" w:eastAsia="仿宋" w:hAnsi="仿宋"/>
                <w:b/>
                <w:color w:val="000000"/>
              </w:rPr>
            </w:pPr>
            <w:r>
              <w:rPr>
                <w:rFonts w:ascii="仿宋" w:eastAsia="仿宋" w:hAnsi="仿宋" w:hint="eastAsia"/>
                <w:b/>
                <w:color w:val="000000"/>
              </w:rPr>
              <w:t>治疗前的LVEF：</w:t>
            </w:r>
          </w:p>
        </w:tc>
        <w:tc>
          <w:tcPr>
            <w:tcW w:w="1313" w:type="dxa"/>
            <w:tcBorders>
              <w:top w:val="single" w:sz="6" w:space="0" w:color="auto"/>
              <w:left w:val="single" w:sz="6" w:space="0" w:color="auto"/>
              <w:bottom w:val="single" w:sz="6" w:space="0" w:color="auto"/>
              <w:right w:val="single" w:sz="6" w:space="0" w:color="auto"/>
            </w:tcBorders>
          </w:tcPr>
          <w:p w:rsidR="00B23A40" w:rsidRDefault="00DD1A0D">
            <w:pPr>
              <w:spacing w:line="360" w:lineRule="auto"/>
              <w:jc w:val="left"/>
              <w:rPr>
                <w:rFonts w:ascii="仿宋" w:eastAsia="仿宋" w:hAnsi="仿宋"/>
                <w:b/>
                <w:color w:val="000000"/>
              </w:rPr>
            </w:pPr>
            <w:r>
              <w:rPr>
                <w:rFonts w:ascii="仿宋" w:eastAsia="仿宋" w:hAnsi="仿宋" w:hint="eastAsia"/>
                <w:b/>
                <w:color w:val="000000"/>
              </w:rPr>
              <w:t>LVEF监测间隔：</w:t>
            </w:r>
          </w:p>
        </w:tc>
        <w:tc>
          <w:tcPr>
            <w:tcW w:w="2210" w:type="dxa"/>
            <w:gridSpan w:val="2"/>
            <w:tcBorders>
              <w:top w:val="single" w:sz="6" w:space="0" w:color="auto"/>
              <w:left w:val="single" w:sz="6" w:space="0" w:color="auto"/>
              <w:bottom w:val="single" w:sz="6" w:space="0" w:color="auto"/>
              <w:right w:val="single" w:sz="6" w:space="0" w:color="auto"/>
            </w:tcBorders>
          </w:tcPr>
          <w:p w:rsidR="00B23A40" w:rsidRDefault="00DD1A0D">
            <w:pPr>
              <w:spacing w:line="360" w:lineRule="auto"/>
              <w:jc w:val="left"/>
              <w:rPr>
                <w:rFonts w:ascii="仿宋" w:eastAsia="仿宋" w:hAnsi="仿宋"/>
                <w:b/>
                <w:color w:val="000000"/>
              </w:rPr>
            </w:pPr>
            <w:r>
              <w:rPr>
                <w:rFonts w:ascii="仿宋" w:eastAsia="仿宋" w:hAnsi="仿宋" w:hint="eastAsia"/>
                <w:b/>
                <w:color w:val="000000"/>
              </w:rPr>
              <w:t>当LVEF下降至以下水平，帕妥珠单抗和曲妥珠单抗至少暂停3周：</w:t>
            </w:r>
          </w:p>
        </w:tc>
        <w:tc>
          <w:tcPr>
            <w:tcW w:w="2213" w:type="dxa"/>
            <w:gridSpan w:val="3"/>
            <w:tcBorders>
              <w:top w:val="single" w:sz="6" w:space="0" w:color="auto"/>
              <w:left w:val="single" w:sz="6" w:space="0" w:color="auto"/>
              <w:bottom w:val="single" w:sz="6" w:space="0" w:color="auto"/>
              <w:right w:val="single" w:sz="6" w:space="0" w:color="auto"/>
            </w:tcBorders>
          </w:tcPr>
          <w:p w:rsidR="00B23A40" w:rsidRDefault="00DD1A0D">
            <w:pPr>
              <w:spacing w:line="360" w:lineRule="auto"/>
              <w:jc w:val="left"/>
              <w:rPr>
                <w:rFonts w:ascii="仿宋" w:eastAsia="仿宋" w:hAnsi="仿宋"/>
                <w:b/>
                <w:color w:val="000000"/>
              </w:rPr>
            </w:pPr>
            <w:r>
              <w:rPr>
                <w:rFonts w:ascii="仿宋" w:eastAsia="仿宋" w:hAnsi="仿宋" w:hint="eastAsia"/>
                <w:b/>
                <w:color w:val="000000"/>
              </w:rPr>
              <w:t>如果LVEF缓解至以下水平，则在3周后重新使用帕妥珠单抗和曲妥珠单抗：</w:t>
            </w:r>
          </w:p>
        </w:tc>
      </w:tr>
      <w:tr w:rsidR="00B23A40">
        <w:trPr>
          <w:trHeight w:val="325"/>
          <w:jc w:val="center"/>
        </w:trPr>
        <w:tc>
          <w:tcPr>
            <w:tcW w:w="1313" w:type="dxa"/>
            <w:tcBorders>
              <w:left w:val="single" w:sz="6" w:space="0" w:color="auto"/>
              <w:bottom w:val="single" w:sz="6" w:space="0" w:color="auto"/>
              <w:right w:val="single" w:sz="6" w:space="0" w:color="auto"/>
            </w:tcBorders>
          </w:tcPr>
          <w:p w:rsidR="00B23A40" w:rsidRDefault="00DD1A0D">
            <w:pPr>
              <w:spacing w:line="360" w:lineRule="auto"/>
              <w:jc w:val="center"/>
              <w:rPr>
                <w:rFonts w:ascii="仿宋" w:eastAsia="仿宋" w:hAnsi="仿宋"/>
                <w:color w:val="000000"/>
              </w:rPr>
            </w:pPr>
            <w:r>
              <w:rPr>
                <w:rFonts w:ascii="仿宋" w:eastAsia="仿宋" w:hAnsi="仿宋" w:hint="eastAsia"/>
                <w:color w:val="000000"/>
              </w:rPr>
              <w:t>转移性乳腺癌</w:t>
            </w:r>
          </w:p>
        </w:tc>
        <w:tc>
          <w:tcPr>
            <w:tcW w:w="1313" w:type="dxa"/>
            <w:tcBorders>
              <w:left w:val="single" w:sz="6" w:space="0" w:color="auto"/>
              <w:bottom w:val="single" w:sz="6" w:space="0" w:color="auto"/>
              <w:right w:val="single" w:sz="6" w:space="0" w:color="auto"/>
            </w:tcBorders>
          </w:tcPr>
          <w:p w:rsidR="00B23A40" w:rsidRDefault="00DD1A0D">
            <w:pPr>
              <w:spacing w:line="360" w:lineRule="auto"/>
              <w:jc w:val="center"/>
              <w:rPr>
                <w:rFonts w:ascii="仿宋" w:eastAsia="仿宋" w:hAnsi="仿宋"/>
                <w:color w:val="000000"/>
              </w:rPr>
            </w:pPr>
            <w:r>
              <w:rPr>
                <w:rFonts w:ascii="仿宋" w:eastAsia="仿宋" w:hAnsi="仿宋" w:hint="eastAsia"/>
                <w:color w:val="000000"/>
              </w:rPr>
              <w:t>≥50%</w:t>
            </w:r>
          </w:p>
        </w:tc>
        <w:tc>
          <w:tcPr>
            <w:tcW w:w="1313" w:type="dxa"/>
            <w:tcBorders>
              <w:left w:val="single" w:sz="6" w:space="0" w:color="auto"/>
              <w:bottom w:val="single" w:sz="6" w:space="0" w:color="auto"/>
              <w:right w:val="single" w:sz="6" w:space="0" w:color="auto"/>
            </w:tcBorders>
          </w:tcPr>
          <w:p w:rsidR="00B23A40" w:rsidRDefault="00DD1A0D">
            <w:pPr>
              <w:spacing w:line="360" w:lineRule="auto"/>
              <w:jc w:val="center"/>
              <w:rPr>
                <w:rFonts w:ascii="仿宋" w:eastAsia="仿宋" w:hAnsi="仿宋"/>
                <w:color w:val="000000"/>
              </w:rPr>
            </w:pPr>
            <w:r>
              <w:rPr>
                <w:rFonts w:ascii="仿宋" w:eastAsia="仿宋" w:hAnsi="仿宋" w:hint="eastAsia"/>
                <w:color w:val="000000"/>
              </w:rPr>
              <w:t>约12周</w:t>
            </w:r>
          </w:p>
        </w:tc>
        <w:tc>
          <w:tcPr>
            <w:tcW w:w="1110" w:type="dxa"/>
            <w:tcBorders>
              <w:top w:val="single" w:sz="6" w:space="0" w:color="auto"/>
              <w:left w:val="single" w:sz="6" w:space="0" w:color="auto"/>
              <w:bottom w:val="single" w:sz="6" w:space="0" w:color="auto"/>
              <w:right w:val="single" w:sz="6" w:space="0" w:color="auto"/>
            </w:tcBorders>
          </w:tcPr>
          <w:p w:rsidR="00B23A40" w:rsidRDefault="00DD1A0D">
            <w:pPr>
              <w:spacing w:line="360" w:lineRule="auto"/>
              <w:jc w:val="center"/>
              <w:rPr>
                <w:rFonts w:ascii="仿宋" w:eastAsia="仿宋" w:hAnsi="仿宋"/>
                <w:color w:val="000000"/>
              </w:rPr>
            </w:pPr>
            <w:r>
              <w:rPr>
                <w:rFonts w:ascii="仿宋" w:eastAsia="仿宋" w:hAnsi="仿宋" w:hint="eastAsia"/>
                <w:color w:val="000000"/>
              </w:rPr>
              <w:t>＜40%或</w:t>
            </w:r>
          </w:p>
        </w:tc>
        <w:tc>
          <w:tcPr>
            <w:tcW w:w="1110" w:type="dxa"/>
            <w:gridSpan w:val="2"/>
            <w:tcBorders>
              <w:top w:val="single" w:sz="6" w:space="0" w:color="auto"/>
              <w:left w:val="single" w:sz="6" w:space="0" w:color="auto"/>
              <w:bottom w:val="single" w:sz="6" w:space="0" w:color="auto"/>
              <w:right w:val="single" w:sz="6" w:space="0" w:color="auto"/>
            </w:tcBorders>
          </w:tcPr>
          <w:p w:rsidR="00B23A40" w:rsidRDefault="00DD1A0D">
            <w:pPr>
              <w:spacing w:line="360" w:lineRule="auto"/>
              <w:jc w:val="center"/>
              <w:rPr>
                <w:rFonts w:ascii="仿宋" w:eastAsia="仿宋" w:hAnsi="仿宋"/>
                <w:color w:val="000000"/>
              </w:rPr>
            </w:pPr>
            <w:r>
              <w:rPr>
                <w:rFonts w:ascii="仿宋" w:eastAsia="仿宋" w:hAnsi="仿宋" w:hint="eastAsia"/>
                <w:color w:val="000000"/>
              </w:rPr>
              <w:t>40%～45%，与治疗前绝对数值相比降低了≥10%</w:t>
            </w:r>
          </w:p>
        </w:tc>
        <w:tc>
          <w:tcPr>
            <w:tcW w:w="1101" w:type="dxa"/>
            <w:tcBorders>
              <w:left w:val="single" w:sz="6" w:space="0" w:color="auto"/>
              <w:bottom w:val="single" w:sz="6" w:space="0" w:color="auto"/>
              <w:right w:val="single" w:sz="6" w:space="0" w:color="auto"/>
            </w:tcBorders>
          </w:tcPr>
          <w:p w:rsidR="00B23A40" w:rsidRDefault="00DD1A0D">
            <w:pPr>
              <w:spacing w:line="360" w:lineRule="auto"/>
              <w:jc w:val="center"/>
              <w:rPr>
                <w:rFonts w:ascii="仿宋" w:eastAsia="仿宋" w:hAnsi="仿宋"/>
                <w:color w:val="000000"/>
              </w:rPr>
            </w:pPr>
            <w:r>
              <w:rPr>
                <w:rFonts w:ascii="仿宋" w:eastAsia="仿宋" w:hAnsi="仿宋" w:hint="eastAsia"/>
                <w:color w:val="000000"/>
              </w:rPr>
              <w:t>＞45%或</w:t>
            </w:r>
          </w:p>
        </w:tc>
        <w:tc>
          <w:tcPr>
            <w:tcW w:w="1102" w:type="dxa"/>
            <w:tcBorders>
              <w:left w:val="single" w:sz="6" w:space="0" w:color="auto"/>
              <w:bottom w:val="single" w:sz="6" w:space="0" w:color="auto"/>
              <w:right w:val="single" w:sz="6" w:space="0" w:color="auto"/>
            </w:tcBorders>
          </w:tcPr>
          <w:p w:rsidR="00B23A40" w:rsidRDefault="00DD1A0D">
            <w:pPr>
              <w:spacing w:line="360" w:lineRule="auto"/>
              <w:jc w:val="center"/>
              <w:rPr>
                <w:rFonts w:ascii="仿宋" w:eastAsia="仿宋" w:hAnsi="仿宋"/>
                <w:color w:val="000000"/>
              </w:rPr>
            </w:pPr>
            <w:r>
              <w:rPr>
                <w:rFonts w:ascii="仿宋" w:eastAsia="仿宋" w:hAnsi="仿宋" w:hint="eastAsia"/>
                <w:color w:val="000000"/>
              </w:rPr>
              <w:t>40%～45%，与治疗前绝对数值相比降低了＜10%</w:t>
            </w:r>
          </w:p>
        </w:tc>
      </w:tr>
      <w:tr w:rsidR="00B23A40">
        <w:trPr>
          <w:jc w:val="center"/>
        </w:trPr>
        <w:tc>
          <w:tcPr>
            <w:tcW w:w="1313" w:type="dxa"/>
            <w:tcBorders>
              <w:top w:val="single" w:sz="6" w:space="0" w:color="auto"/>
              <w:left w:val="single" w:sz="6" w:space="0" w:color="auto"/>
              <w:bottom w:val="single" w:sz="6" w:space="0" w:color="auto"/>
              <w:right w:val="single" w:sz="6" w:space="0" w:color="auto"/>
            </w:tcBorders>
          </w:tcPr>
          <w:p w:rsidR="00B23A40" w:rsidRDefault="00DD1A0D">
            <w:pPr>
              <w:spacing w:line="360" w:lineRule="auto"/>
              <w:jc w:val="center"/>
              <w:rPr>
                <w:rFonts w:ascii="仿宋" w:eastAsia="仿宋" w:hAnsi="仿宋"/>
                <w:color w:val="000000"/>
              </w:rPr>
            </w:pPr>
            <w:r>
              <w:rPr>
                <w:rFonts w:ascii="仿宋" w:eastAsia="仿宋" w:hAnsi="仿宋" w:hint="eastAsia"/>
                <w:color w:val="000000"/>
              </w:rPr>
              <w:t>早期乳腺癌</w:t>
            </w:r>
          </w:p>
        </w:tc>
        <w:tc>
          <w:tcPr>
            <w:tcW w:w="1313" w:type="dxa"/>
            <w:tcBorders>
              <w:top w:val="single" w:sz="6" w:space="0" w:color="auto"/>
              <w:left w:val="single" w:sz="6" w:space="0" w:color="auto"/>
              <w:bottom w:val="single" w:sz="6" w:space="0" w:color="auto"/>
              <w:right w:val="single" w:sz="6" w:space="0" w:color="auto"/>
            </w:tcBorders>
          </w:tcPr>
          <w:p w:rsidR="00B23A40" w:rsidRDefault="00DD1A0D">
            <w:pPr>
              <w:spacing w:line="360" w:lineRule="auto"/>
              <w:jc w:val="center"/>
              <w:rPr>
                <w:rFonts w:ascii="仿宋" w:eastAsia="仿宋" w:hAnsi="仿宋"/>
                <w:color w:val="000000"/>
              </w:rPr>
            </w:pPr>
            <w:r>
              <w:rPr>
                <w:rFonts w:ascii="仿宋" w:eastAsia="仿宋" w:hAnsi="仿宋" w:hint="eastAsia"/>
                <w:color w:val="000000"/>
              </w:rPr>
              <w:t>≥55%</w:t>
            </w:r>
            <w:r>
              <w:rPr>
                <w:rFonts w:ascii="仿宋" w:eastAsia="仿宋" w:hAnsi="仿宋" w:hint="eastAsia"/>
                <w:color w:val="000000"/>
                <w:vertAlign w:val="superscript"/>
              </w:rPr>
              <w:t>*</w:t>
            </w:r>
          </w:p>
        </w:tc>
        <w:tc>
          <w:tcPr>
            <w:tcW w:w="1313" w:type="dxa"/>
            <w:tcBorders>
              <w:top w:val="single" w:sz="6" w:space="0" w:color="auto"/>
              <w:left w:val="single" w:sz="6" w:space="0" w:color="auto"/>
              <w:bottom w:val="single" w:sz="6" w:space="0" w:color="auto"/>
              <w:right w:val="single" w:sz="6" w:space="0" w:color="auto"/>
            </w:tcBorders>
          </w:tcPr>
          <w:p w:rsidR="00B23A40" w:rsidRDefault="00DD1A0D">
            <w:pPr>
              <w:spacing w:line="360" w:lineRule="auto"/>
              <w:jc w:val="center"/>
              <w:rPr>
                <w:rFonts w:ascii="仿宋" w:eastAsia="仿宋" w:hAnsi="仿宋"/>
                <w:color w:val="000000"/>
              </w:rPr>
            </w:pPr>
            <w:r>
              <w:rPr>
                <w:rFonts w:ascii="仿宋" w:eastAsia="仿宋" w:hAnsi="仿宋" w:hint="eastAsia"/>
                <w:color w:val="000000"/>
              </w:rPr>
              <w:t>约12周（在新辅助治疗期间监测一次）</w:t>
            </w:r>
          </w:p>
        </w:tc>
        <w:tc>
          <w:tcPr>
            <w:tcW w:w="2220" w:type="dxa"/>
            <w:gridSpan w:val="3"/>
            <w:tcBorders>
              <w:top w:val="single" w:sz="6" w:space="0" w:color="auto"/>
              <w:left w:val="single" w:sz="6" w:space="0" w:color="auto"/>
              <w:bottom w:val="single" w:sz="6" w:space="0" w:color="auto"/>
              <w:right w:val="single" w:sz="6" w:space="0" w:color="auto"/>
            </w:tcBorders>
          </w:tcPr>
          <w:p w:rsidR="00B23A40" w:rsidRDefault="00DD1A0D">
            <w:pPr>
              <w:spacing w:line="360" w:lineRule="auto"/>
              <w:jc w:val="center"/>
              <w:rPr>
                <w:rFonts w:ascii="仿宋" w:eastAsia="仿宋" w:hAnsi="仿宋"/>
                <w:color w:val="000000"/>
              </w:rPr>
            </w:pPr>
            <w:r>
              <w:rPr>
                <w:rFonts w:ascii="仿宋" w:eastAsia="仿宋" w:hAnsi="仿宋" w:hint="eastAsia"/>
                <w:color w:val="000000"/>
              </w:rPr>
              <w:t>＜50%，且与治疗前绝对数值相比降低了≥10%</w:t>
            </w:r>
          </w:p>
        </w:tc>
        <w:tc>
          <w:tcPr>
            <w:tcW w:w="1101" w:type="dxa"/>
            <w:tcBorders>
              <w:top w:val="single" w:sz="6" w:space="0" w:color="auto"/>
              <w:left w:val="single" w:sz="6" w:space="0" w:color="auto"/>
              <w:bottom w:val="single" w:sz="6" w:space="0" w:color="auto"/>
              <w:right w:val="single" w:sz="6" w:space="0" w:color="auto"/>
            </w:tcBorders>
          </w:tcPr>
          <w:p w:rsidR="00B23A40" w:rsidRDefault="00DD1A0D">
            <w:pPr>
              <w:spacing w:line="360" w:lineRule="auto"/>
              <w:jc w:val="center"/>
              <w:rPr>
                <w:rFonts w:ascii="仿宋" w:eastAsia="仿宋" w:hAnsi="仿宋"/>
                <w:color w:val="000000"/>
              </w:rPr>
            </w:pPr>
            <w:r>
              <w:rPr>
                <w:rFonts w:ascii="仿宋" w:eastAsia="仿宋" w:hAnsi="仿宋" w:hint="eastAsia"/>
                <w:color w:val="000000"/>
              </w:rPr>
              <w:t>≥50%或</w:t>
            </w:r>
          </w:p>
        </w:tc>
        <w:tc>
          <w:tcPr>
            <w:tcW w:w="1102" w:type="dxa"/>
            <w:tcBorders>
              <w:top w:val="single" w:sz="6" w:space="0" w:color="auto"/>
              <w:left w:val="single" w:sz="6" w:space="0" w:color="auto"/>
              <w:bottom w:val="single" w:sz="6" w:space="0" w:color="auto"/>
              <w:right w:val="single" w:sz="6" w:space="0" w:color="auto"/>
            </w:tcBorders>
          </w:tcPr>
          <w:p w:rsidR="00B23A40" w:rsidRDefault="00DD1A0D">
            <w:pPr>
              <w:spacing w:line="360" w:lineRule="auto"/>
              <w:jc w:val="center"/>
              <w:rPr>
                <w:rFonts w:ascii="仿宋" w:eastAsia="仿宋" w:hAnsi="仿宋"/>
                <w:color w:val="000000"/>
              </w:rPr>
            </w:pPr>
            <w:r>
              <w:rPr>
                <w:rFonts w:ascii="仿宋" w:eastAsia="仿宋" w:hAnsi="仿宋" w:hint="eastAsia"/>
                <w:color w:val="000000"/>
              </w:rPr>
              <w:t>与治疗前绝对数值相比降低了＜10%</w:t>
            </w:r>
          </w:p>
        </w:tc>
      </w:tr>
    </w:tbl>
    <w:bookmarkEnd w:id="1"/>
    <w:bookmarkEnd w:id="2"/>
    <w:p w:rsidR="00B23A40" w:rsidRDefault="00DD1A0D">
      <w:pPr>
        <w:rPr>
          <w:rFonts w:ascii="仿宋" w:eastAsia="仿宋" w:hAnsi="仿宋"/>
          <w:color w:val="000000"/>
          <w:sz w:val="18"/>
          <w:szCs w:val="18"/>
        </w:rPr>
      </w:pPr>
      <w:r>
        <w:rPr>
          <w:rFonts w:ascii="仿宋" w:eastAsia="仿宋" w:hAnsi="仿宋" w:hint="eastAsia"/>
          <w:color w:val="000000"/>
          <w:sz w:val="18"/>
          <w:szCs w:val="18"/>
          <w:vertAlign w:val="superscript"/>
        </w:rPr>
        <w:t>*</w:t>
      </w:r>
      <w:r>
        <w:rPr>
          <w:rFonts w:ascii="仿宋" w:eastAsia="仿宋" w:hAnsi="仿宋" w:hint="eastAsia"/>
          <w:color w:val="000000"/>
          <w:sz w:val="18"/>
          <w:szCs w:val="18"/>
        </w:rPr>
        <w:t>对于接受蒽环类药物化疗的患者，在完成蒽环类药物化疗之后和在首次帕妥珠单抗和曲妥珠单抗之前，</w:t>
      </w:r>
      <w:r>
        <w:rPr>
          <w:rFonts w:ascii="仿宋" w:eastAsia="仿宋" w:hAnsi="仿宋" w:hint="eastAsia"/>
          <w:color w:val="000000"/>
          <w:sz w:val="18"/>
          <w:szCs w:val="18"/>
        </w:rPr>
        <w:lastRenderedPageBreak/>
        <w:t>LVEF值需≥50％。</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7.临床研究证实，HER2阳性复发转移性乳腺癌患者，在其他化疗药物或内分泌药物治疗时，联合帕妥珠单抗和曲妥珠单抗可进一步增加临床获益。</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8</w:t>
      </w:r>
      <w:r w:rsidR="00BF7ADA">
        <w:rPr>
          <w:rFonts w:ascii="仿宋" w:eastAsia="仿宋" w:hAnsi="仿宋"/>
          <w:color w:val="000000"/>
          <w:sz w:val="32"/>
          <w:szCs w:val="32"/>
        </w:rPr>
        <w:t>.</w:t>
      </w:r>
      <w:r>
        <w:rPr>
          <w:rFonts w:ascii="仿宋" w:eastAsia="仿宋" w:hAnsi="仿宋" w:hint="eastAsia"/>
          <w:color w:val="000000"/>
          <w:sz w:val="32"/>
          <w:szCs w:val="32"/>
        </w:rPr>
        <w:t>帕妥珠单抗用于18岁以下儿童和青少年的安全性和有效性尚未确定。</w:t>
      </w:r>
    </w:p>
    <w:p w:rsidR="00B23A40" w:rsidRDefault="00DD1A0D">
      <w:pPr>
        <w:ind w:firstLineChars="200" w:firstLine="640"/>
        <w:rPr>
          <w:rFonts w:ascii="黑体" w:eastAsia="黑体" w:hAnsi="黑体"/>
          <w:color w:val="000000"/>
          <w:sz w:val="32"/>
          <w:szCs w:val="32"/>
        </w:rPr>
      </w:pPr>
      <w:r>
        <w:rPr>
          <w:rFonts w:ascii="黑体" w:eastAsia="黑体" w:hAnsi="黑体" w:hint="eastAsia"/>
          <w:color w:val="000000"/>
          <w:sz w:val="32"/>
          <w:szCs w:val="32"/>
        </w:rPr>
        <w:t xml:space="preserve">五、哌柏西利 </w:t>
      </w:r>
      <w:r>
        <w:rPr>
          <w:rFonts w:ascii="黑体" w:eastAsia="黑体" w:hAnsi="黑体"/>
          <w:color w:val="000000"/>
          <w:sz w:val="32"/>
          <w:szCs w:val="32"/>
        </w:rPr>
        <w:t>palbociclib</w:t>
      </w:r>
    </w:p>
    <w:p w:rsidR="00B23A40" w:rsidRDefault="00DD1A0D">
      <w:pPr>
        <w:ind w:firstLineChars="200" w:firstLine="643"/>
        <w:rPr>
          <w:rFonts w:ascii="仿宋" w:eastAsia="仿宋" w:hAnsi="仿宋"/>
          <w:color w:val="000000"/>
          <w:sz w:val="32"/>
          <w:szCs w:val="32"/>
        </w:rPr>
      </w:pPr>
      <w:r>
        <w:rPr>
          <w:rFonts w:ascii="仿宋" w:eastAsia="仿宋" w:hAnsi="仿宋" w:hint="eastAsia"/>
          <w:b/>
          <w:color w:val="000000"/>
          <w:sz w:val="32"/>
          <w:szCs w:val="32"/>
        </w:rPr>
        <w:t>制剂与规格：</w:t>
      </w:r>
      <w:r>
        <w:rPr>
          <w:rFonts w:ascii="仿宋" w:eastAsia="仿宋" w:hAnsi="仿宋" w:hint="eastAsia"/>
          <w:color w:val="000000"/>
          <w:sz w:val="32"/>
          <w:szCs w:val="32"/>
        </w:rPr>
        <w:t>胶囊：75mg、100mg、125mg</w:t>
      </w:r>
    </w:p>
    <w:p w:rsidR="00B23A40" w:rsidRDefault="00DD1A0D">
      <w:pPr>
        <w:ind w:firstLineChars="200" w:firstLine="643"/>
        <w:rPr>
          <w:rFonts w:ascii="仿宋" w:eastAsia="仿宋" w:hAnsi="仿宋"/>
          <w:color w:val="000000"/>
          <w:sz w:val="32"/>
          <w:szCs w:val="32"/>
        </w:rPr>
      </w:pPr>
      <w:r>
        <w:rPr>
          <w:rFonts w:ascii="仿宋" w:eastAsia="仿宋" w:hAnsi="仿宋" w:hint="eastAsia"/>
          <w:b/>
          <w:color w:val="000000"/>
          <w:sz w:val="32"/>
          <w:szCs w:val="32"/>
        </w:rPr>
        <w:t>适应证：</w:t>
      </w:r>
      <w:r>
        <w:rPr>
          <w:rFonts w:ascii="仿宋" w:eastAsia="仿宋" w:hAnsi="仿宋" w:hint="eastAsia"/>
          <w:color w:val="000000"/>
          <w:sz w:val="32"/>
          <w:szCs w:val="32"/>
        </w:rPr>
        <w:t>本品适用于激素受体（HR）阳性、HER2阴性的局部晚期或转移性乳腺癌：（1）与芳香化酶抑制剂联合使用，作为绝经后女性患者的初始内分泌治疗。鉴于芳香化酶抑制剂的作用机制，绝经前/围绝经期女性接受哌柏西利与芳香化酶抑制剂联合治疗时，必须进行卵巢切除或使用促黄体生成激素释放激素（LHRH）激动剂抑制卵巢功能。（2）与氟维司群联合使用治疗内分泌治疗后进展的转移性乳腺癌女性患者。哌柏西利联合氟维司群用于绝经前/围绝经期女性，需要与LHRH激动剂联合用药。（3）男性乳腺癌：2019年4月4日，FDA批准了美国哌柏西利HR阳性、HER2阴性晚期男性乳腺癌的适应证。</w:t>
      </w:r>
    </w:p>
    <w:p w:rsidR="00B23A40" w:rsidRDefault="00DD1A0D">
      <w:pPr>
        <w:ind w:firstLineChars="200" w:firstLine="643"/>
        <w:rPr>
          <w:rFonts w:ascii="仿宋" w:eastAsia="仿宋" w:hAnsi="仿宋"/>
          <w:b/>
          <w:color w:val="000000"/>
          <w:sz w:val="32"/>
          <w:szCs w:val="32"/>
        </w:rPr>
      </w:pPr>
      <w:r>
        <w:rPr>
          <w:rFonts w:ascii="仿宋" w:eastAsia="仿宋" w:hAnsi="仿宋" w:hint="eastAsia"/>
          <w:b/>
          <w:color w:val="000000"/>
          <w:sz w:val="32"/>
          <w:szCs w:val="32"/>
        </w:rPr>
        <w:t>合理用药要点：</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1.在接受哌柏西利治疗前，应在有资质的病理实验室进行检测证实HR阳性、HER2阴性患者方可使用。HR阳性的定义为雌激素受体免疫组化染色显示超过1%的肿瘤细胞核染</w:t>
      </w:r>
      <w:r>
        <w:rPr>
          <w:rFonts w:ascii="仿宋" w:eastAsia="仿宋" w:hAnsi="仿宋" w:hint="eastAsia"/>
          <w:color w:val="000000"/>
          <w:sz w:val="32"/>
          <w:szCs w:val="32"/>
        </w:rPr>
        <w:lastRenderedPageBreak/>
        <w:t>色阳性。HER2阴性的定义为IHCO-1+或FISH阴性。</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2.本品起始剂量是125mg/d，4周为一个用药周期：服药3周后需停药1周。应与食物同服，不得与葡萄柚或葡萄柚汁同服，最好随餐服药以确保哌柏西利暴露量一致。</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3.常见副作用为骨髓抑制，因此建议在使用本品前行血常规检查，在中性粒细胞绝对计数≥1.0×</w:t>
      </w:r>
      <w:r>
        <w:rPr>
          <w:rFonts w:ascii="仿宋" w:eastAsia="仿宋" w:hAnsi="仿宋"/>
          <w:color w:val="000000"/>
          <w:sz w:val="32"/>
          <w:szCs w:val="32"/>
        </w:rPr>
        <w:t>10</w:t>
      </w:r>
      <w:r>
        <w:rPr>
          <w:rFonts w:ascii="仿宋" w:eastAsia="仿宋" w:hAnsi="仿宋"/>
          <w:color w:val="000000"/>
          <w:sz w:val="32"/>
          <w:szCs w:val="32"/>
          <w:vertAlign w:val="superscript"/>
        </w:rPr>
        <w:t>9</w:t>
      </w:r>
      <w:r>
        <w:rPr>
          <w:rFonts w:ascii="仿宋" w:eastAsia="仿宋" w:hAnsi="仿宋"/>
          <w:color w:val="000000"/>
          <w:sz w:val="32"/>
          <w:szCs w:val="32"/>
        </w:rPr>
        <w:t>/L</w:t>
      </w:r>
      <w:r>
        <w:rPr>
          <w:rFonts w:ascii="仿宋" w:eastAsia="仿宋" w:hAnsi="仿宋" w:hint="eastAsia"/>
          <w:color w:val="000000"/>
          <w:sz w:val="32"/>
          <w:szCs w:val="32"/>
        </w:rPr>
        <w:t>且血小板计数≥50×</w:t>
      </w:r>
      <w:r>
        <w:rPr>
          <w:rFonts w:ascii="仿宋" w:eastAsia="仿宋" w:hAnsi="仿宋"/>
          <w:color w:val="000000"/>
          <w:sz w:val="32"/>
          <w:szCs w:val="32"/>
        </w:rPr>
        <w:t>10</w:t>
      </w:r>
      <w:r>
        <w:rPr>
          <w:rFonts w:ascii="仿宋" w:eastAsia="仿宋" w:hAnsi="仿宋"/>
          <w:color w:val="000000"/>
          <w:sz w:val="32"/>
          <w:szCs w:val="32"/>
          <w:vertAlign w:val="superscript"/>
        </w:rPr>
        <w:t>9</w:t>
      </w:r>
      <w:r>
        <w:rPr>
          <w:rFonts w:ascii="仿宋" w:eastAsia="仿宋" w:hAnsi="仿宋"/>
          <w:color w:val="000000"/>
          <w:sz w:val="32"/>
          <w:szCs w:val="32"/>
        </w:rPr>
        <w:t>/L</w:t>
      </w:r>
      <w:r>
        <w:rPr>
          <w:rFonts w:ascii="仿宋" w:eastAsia="仿宋" w:hAnsi="仿宋" w:hint="eastAsia"/>
          <w:color w:val="000000"/>
          <w:sz w:val="32"/>
          <w:szCs w:val="32"/>
        </w:rPr>
        <w:t>时开始接受治疗。在第15天检测血常规，中性粒细胞绝对计数0.5×10</w:t>
      </w:r>
      <w:r>
        <w:rPr>
          <w:rFonts w:ascii="仿宋" w:eastAsia="仿宋" w:hAnsi="仿宋" w:hint="eastAsia"/>
          <w:color w:val="000000"/>
          <w:sz w:val="32"/>
          <w:szCs w:val="32"/>
          <w:vertAlign w:val="superscript"/>
        </w:rPr>
        <w:t>9</w:t>
      </w:r>
      <w:r>
        <w:rPr>
          <w:rFonts w:ascii="仿宋" w:eastAsia="仿宋" w:hAnsi="仿宋" w:hint="eastAsia"/>
          <w:color w:val="000000"/>
          <w:sz w:val="32"/>
          <w:szCs w:val="32"/>
        </w:rPr>
        <w:t>/L至≤1.0×10</w:t>
      </w:r>
      <w:r>
        <w:rPr>
          <w:rFonts w:ascii="仿宋" w:eastAsia="仿宋" w:hAnsi="仿宋" w:hint="eastAsia"/>
          <w:color w:val="000000"/>
          <w:sz w:val="32"/>
          <w:szCs w:val="32"/>
          <w:vertAlign w:val="superscript"/>
        </w:rPr>
        <w:t>9</w:t>
      </w:r>
      <w:r>
        <w:rPr>
          <w:rFonts w:ascii="仿宋" w:eastAsia="仿宋" w:hAnsi="仿宋" w:hint="eastAsia"/>
          <w:color w:val="000000"/>
          <w:sz w:val="32"/>
          <w:szCs w:val="32"/>
        </w:rPr>
        <w:t>/L时，可以继续服药至21天。如果第15天中性粒细胞绝对计数≤0.5×10</w:t>
      </w:r>
      <w:r>
        <w:rPr>
          <w:rFonts w:ascii="仿宋" w:eastAsia="仿宋" w:hAnsi="仿宋" w:hint="eastAsia"/>
          <w:color w:val="000000"/>
          <w:sz w:val="32"/>
          <w:szCs w:val="32"/>
          <w:vertAlign w:val="superscript"/>
        </w:rPr>
        <w:t>9</w:t>
      </w:r>
      <w:r>
        <w:rPr>
          <w:rFonts w:ascii="仿宋" w:eastAsia="仿宋" w:hAnsi="仿宋" w:hint="eastAsia"/>
          <w:color w:val="000000"/>
          <w:sz w:val="32"/>
          <w:szCs w:val="32"/>
        </w:rPr>
        <w:t>/L时，需暂停服用哌柏西利，直至恢复至≥1.0×10</w:t>
      </w:r>
      <w:r>
        <w:rPr>
          <w:rFonts w:ascii="仿宋" w:eastAsia="仿宋" w:hAnsi="仿宋" w:hint="eastAsia"/>
          <w:color w:val="000000"/>
          <w:sz w:val="32"/>
          <w:szCs w:val="32"/>
          <w:vertAlign w:val="superscript"/>
        </w:rPr>
        <w:t>9</w:t>
      </w:r>
      <w:r>
        <w:rPr>
          <w:rFonts w:ascii="仿宋" w:eastAsia="仿宋" w:hAnsi="仿宋" w:hint="eastAsia"/>
          <w:color w:val="000000"/>
          <w:sz w:val="32"/>
          <w:szCs w:val="32"/>
        </w:rPr>
        <w:t>/L，再以降低一个剂量级开始下一疗程治疗。如果下个疗程前一天检测血常规，中性粒细胞恢复至≥1.0×10</w:t>
      </w:r>
      <w:r>
        <w:rPr>
          <w:rFonts w:ascii="仿宋" w:eastAsia="仿宋" w:hAnsi="仿宋" w:hint="eastAsia"/>
          <w:color w:val="000000"/>
          <w:sz w:val="32"/>
          <w:szCs w:val="32"/>
          <w:vertAlign w:val="superscript"/>
        </w:rPr>
        <w:t>9</w:t>
      </w:r>
      <w:r>
        <w:rPr>
          <w:rFonts w:ascii="仿宋" w:eastAsia="仿宋" w:hAnsi="仿宋" w:hint="eastAsia"/>
          <w:color w:val="000000"/>
          <w:sz w:val="32"/>
          <w:szCs w:val="32"/>
        </w:rPr>
        <w:t>/L，可以原剂量开始下一疗程，但如果延迟恢复，则需要降低一个剂量级开始下一疗程。</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4.避免伴随使用CYP3A强效抑制剂，考虑强效抑制剂替换为没有或只微弱CYP3A抑制作用的其他伴随用药。如果患者必须伴随用药CYP3A强效抑制剂，则将哌柏西利剂量减少至75mg，每天一次。如果停用强效抑制剂，则将哌柏西利的剂量增加至开始使用CYP3A强效抑制剂之前的剂量（在抑制剂的3至5个半衰期后）。</w:t>
      </w:r>
    </w:p>
    <w:p w:rsidR="00B23A40" w:rsidRDefault="00B23A40">
      <w:pPr>
        <w:spacing w:line="360" w:lineRule="auto"/>
        <w:ind w:firstLineChars="200" w:firstLine="643"/>
        <w:jc w:val="center"/>
        <w:rPr>
          <w:rFonts w:ascii="仿宋" w:eastAsia="仿宋" w:hAnsi="仿宋" w:cs="Times New Roman"/>
          <w:b/>
          <w:bCs/>
          <w:sz w:val="32"/>
          <w:szCs w:val="32"/>
        </w:rPr>
      </w:pPr>
    </w:p>
    <w:p w:rsidR="00B23A40" w:rsidRDefault="00B23A40">
      <w:pPr>
        <w:spacing w:line="360" w:lineRule="auto"/>
        <w:ind w:firstLineChars="200" w:firstLine="883"/>
        <w:jc w:val="center"/>
        <w:rPr>
          <w:rFonts w:ascii="宋体" w:hAnsi="宋体" w:cs="宋体"/>
          <w:b/>
          <w:bCs/>
          <w:sz w:val="44"/>
          <w:szCs w:val="44"/>
        </w:rPr>
      </w:pPr>
    </w:p>
    <w:p w:rsidR="00B23A40" w:rsidRDefault="00DD1A0D">
      <w:pPr>
        <w:spacing w:line="360" w:lineRule="auto"/>
        <w:ind w:firstLineChars="200" w:firstLine="883"/>
        <w:jc w:val="center"/>
        <w:rPr>
          <w:rFonts w:ascii="宋体" w:cs="Times New Roman"/>
          <w:b/>
          <w:bCs/>
          <w:sz w:val="44"/>
          <w:szCs w:val="44"/>
        </w:rPr>
      </w:pPr>
      <w:r>
        <w:rPr>
          <w:rFonts w:ascii="宋体" w:hAnsi="宋体" w:cs="宋体" w:hint="eastAsia"/>
          <w:b/>
          <w:bCs/>
          <w:sz w:val="44"/>
          <w:szCs w:val="44"/>
        </w:rPr>
        <w:lastRenderedPageBreak/>
        <w:t>皮肤及软组织肿瘤用药</w:t>
      </w:r>
    </w:p>
    <w:p w:rsidR="00B23A40" w:rsidRDefault="00B23A40">
      <w:pPr>
        <w:spacing w:line="360" w:lineRule="auto"/>
        <w:ind w:firstLineChars="200" w:firstLine="643"/>
        <w:jc w:val="center"/>
        <w:rPr>
          <w:rFonts w:ascii="仿宋" w:eastAsia="仿宋" w:hAnsi="仿宋" w:cs="Times New Roman"/>
          <w:b/>
          <w:bCs/>
          <w:sz w:val="32"/>
          <w:szCs w:val="32"/>
        </w:rPr>
      </w:pPr>
    </w:p>
    <w:p w:rsidR="00B23A40" w:rsidRDefault="00DD1A0D">
      <w:pPr>
        <w:widowControl/>
        <w:spacing w:line="620" w:lineRule="exact"/>
        <w:ind w:firstLineChars="200" w:firstLine="640"/>
        <w:jc w:val="left"/>
        <w:rPr>
          <w:rFonts w:ascii="黑体" w:eastAsia="黑体" w:hAnsi="黑体" w:cs="Times New Roman"/>
          <w:kern w:val="0"/>
          <w:sz w:val="32"/>
          <w:szCs w:val="32"/>
        </w:rPr>
      </w:pPr>
      <w:r>
        <w:rPr>
          <w:rFonts w:ascii="黑体" w:eastAsia="黑体" w:hAnsi="黑体" w:cs="黑体" w:hint="eastAsia"/>
          <w:kern w:val="0"/>
          <w:sz w:val="32"/>
          <w:szCs w:val="32"/>
        </w:rPr>
        <w:t xml:space="preserve">一、伊马替尼 </w:t>
      </w:r>
      <w:r>
        <w:rPr>
          <w:rFonts w:ascii="黑体" w:eastAsia="黑体" w:hAnsi="黑体" w:cs="黑体"/>
          <w:kern w:val="0"/>
          <w:sz w:val="32"/>
          <w:szCs w:val="32"/>
        </w:rPr>
        <w:t>imatinib</w:t>
      </w:r>
    </w:p>
    <w:p w:rsidR="00B23A40" w:rsidRDefault="00DD1A0D">
      <w:pPr>
        <w:widowControl/>
        <w:spacing w:line="620" w:lineRule="exact"/>
        <w:ind w:firstLineChars="200" w:firstLine="643"/>
        <w:jc w:val="left"/>
        <w:rPr>
          <w:rFonts w:ascii="仿宋" w:eastAsia="仿宋" w:hAnsi="仿宋" w:cs="仿宋"/>
          <w:kern w:val="0"/>
          <w:sz w:val="32"/>
          <w:szCs w:val="32"/>
        </w:rPr>
      </w:pPr>
      <w:r>
        <w:rPr>
          <w:rFonts w:ascii="仿宋" w:eastAsia="仿宋" w:hAnsi="仿宋" w:cs="仿宋" w:hint="eastAsia"/>
          <w:b/>
          <w:bCs/>
          <w:kern w:val="0"/>
          <w:sz w:val="32"/>
          <w:szCs w:val="32"/>
        </w:rPr>
        <w:t>制剂与规格：</w:t>
      </w:r>
      <w:r>
        <w:rPr>
          <w:rFonts w:ascii="仿宋" w:eastAsia="仿宋" w:hAnsi="仿宋" w:cs="仿宋" w:hint="eastAsia"/>
          <w:kern w:val="0"/>
          <w:sz w:val="32"/>
          <w:szCs w:val="32"/>
        </w:rPr>
        <w:t>（</w:t>
      </w:r>
      <w:r>
        <w:rPr>
          <w:rFonts w:ascii="仿宋" w:eastAsia="仿宋" w:hAnsi="仿宋" w:cs="仿宋"/>
          <w:kern w:val="0"/>
          <w:sz w:val="32"/>
          <w:szCs w:val="32"/>
        </w:rPr>
        <w:t>1</w:t>
      </w:r>
      <w:r>
        <w:rPr>
          <w:rFonts w:ascii="仿宋" w:eastAsia="仿宋" w:hAnsi="仿宋" w:cs="仿宋" w:hint="eastAsia"/>
          <w:kern w:val="0"/>
          <w:sz w:val="32"/>
          <w:szCs w:val="32"/>
        </w:rPr>
        <w:t>）片剂：1</w:t>
      </w:r>
      <w:r>
        <w:rPr>
          <w:rFonts w:ascii="仿宋" w:eastAsia="仿宋" w:hAnsi="仿宋" w:cs="仿宋"/>
          <w:kern w:val="0"/>
          <w:sz w:val="32"/>
          <w:szCs w:val="32"/>
        </w:rPr>
        <w:t>00mg</w:t>
      </w:r>
      <w:r>
        <w:rPr>
          <w:rFonts w:ascii="仿宋" w:eastAsia="仿宋" w:hAnsi="仿宋" w:cs="仿宋" w:hint="eastAsia"/>
          <w:kern w:val="0"/>
          <w:sz w:val="32"/>
          <w:szCs w:val="32"/>
        </w:rPr>
        <w:t>、4</w:t>
      </w:r>
      <w:r>
        <w:rPr>
          <w:rFonts w:ascii="仿宋" w:eastAsia="仿宋" w:hAnsi="仿宋" w:cs="仿宋"/>
          <w:kern w:val="0"/>
          <w:sz w:val="32"/>
          <w:szCs w:val="32"/>
        </w:rPr>
        <w:t>00mg</w:t>
      </w:r>
      <w:r>
        <w:rPr>
          <w:rFonts w:ascii="仿宋" w:eastAsia="仿宋" w:hAnsi="仿宋" w:cs="仿宋" w:hint="eastAsia"/>
          <w:kern w:val="0"/>
          <w:sz w:val="32"/>
          <w:szCs w:val="32"/>
        </w:rPr>
        <w:t>；（</w:t>
      </w:r>
      <w:r>
        <w:rPr>
          <w:rFonts w:ascii="仿宋" w:eastAsia="仿宋" w:hAnsi="仿宋" w:cs="仿宋"/>
          <w:kern w:val="0"/>
          <w:sz w:val="32"/>
          <w:szCs w:val="32"/>
        </w:rPr>
        <w:t>2</w:t>
      </w:r>
      <w:r>
        <w:rPr>
          <w:rFonts w:ascii="仿宋" w:eastAsia="仿宋" w:hAnsi="仿宋" w:cs="仿宋" w:hint="eastAsia"/>
          <w:kern w:val="0"/>
          <w:sz w:val="32"/>
          <w:szCs w:val="32"/>
        </w:rPr>
        <w:t>）胶囊：</w:t>
      </w:r>
      <w:r>
        <w:rPr>
          <w:rFonts w:ascii="仿宋" w:eastAsia="仿宋" w:hAnsi="仿宋" w:cs="仿宋"/>
          <w:kern w:val="0"/>
          <w:sz w:val="32"/>
          <w:szCs w:val="32"/>
        </w:rPr>
        <w:t xml:space="preserve">100mg </w:t>
      </w:r>
    </w:p>
    <w:p w:rsidR="00B23A40" w:rsidRDefault="00DD1A0D">
      <w:pPr>
        <w:widowControl/>
        <w:spacing w:line="620" w:lineRule="exact"/>
        <w:ind w:firstLineChars="200" w:firstLine="643"/>
        <w:jc w:val="left"/>
        <w:rPr>
          <w:rFonts w:ascii="仿宋" w:eastAsia="仿宋" w:hAnsi="仿宋" w:cs="Times New Roman"/>
          <w:kern w:val="0"/>
          <w:sz w:val="32"/>
          <w:szCs w:val="32"/>
        </w:rPr>
      </w:pPr>
      <w:r>
        <w:rPr>
          <w:rFonts w:ascii="仿宋" w:eastAsia="仿宋" w:hAnsi="仿宋" w:cs="仿宋" w:hint="eastAsia"/>
          <w:b/>
          <w:bCs/>
          <w:kern w:val="0"/>
          <w:sz w:val="32"/>
          <w:szCs w:val="32"/>
        </w:rPr>
        <w:t>适应证：</w:t>
      </w:r>
      <w:r>
        <w:rPr>
          <w:rFonts w:ascii="仿宋" w:eastAsia="仿宋" w:hAnsi="仿宋" w:cs="仿宋" w:hint="eastAsia"/>
          <w:kern w:val="0"/>
          <w:sz w:val="32"/>
          <w:szCs w:val="32"/>
        </w:rPr>
        <w:t>对不能切除和</w:t>
      </w:r>
      <w:r>
        <w:rPr>
          <w:rFonts w:ascii="仿宋" w:eastAsia="仿宋" w:hAnsi="仿宋" w:cs="仿宋"/>
          <w:kern w:val="0"/>
          <w:sz w:val="32"/>
          <w:szCs w:val="32"/>
        </w:rPr>
        <w:t>/</w:t>
      </w:r>
      <w:r>
        <w:rPr>
          <w:rFonts w:ascii="仿宋" w:eastAsia="仿宋" w:hAnsi="仿宋" w:cs="仿宋" w:hint="eastAsia"/>
          <w:kern w:val="0"/>
          <w:sz w:val="32"/>
          <w:szCs w:val="32"/>
        </w:rPr>
        <w:t>或转移性</w:t>
      </w:r>
      <w:r>
        <w:rPr>
          <w:rFonts w:ascii="仿宋" w:eastAsia="仿宋" w:hAnsi="仿宋" w:cs="仿宋"/>
          <w:kern w:val="0"/>
          <w:sz w:val="32"/>
          <w:szCs w:val="32"/>
        </w:rPr>
        <w:t>KIT</w:t>
      </w:r>
      <w:r>
        <w:rPr>
          <w:rFonts w:ascii="仿宋" w:eastAsia="仿宋" w:hAnsi="仿宋" w:cs="仿宋" w:hint="eastAsia"/>
          <w:kern w:val="0"/>
          <w:sz w:val="32"/>
          <w:szCs w:val="32"/>
        </w:rPr>
        <w:t>突变的恶性黑色素瘤患者。</w:t>
      </w:r>
    </w:p>
    <w:p w:rsidR="00B23A40" w:rsidRDefault="00DD1A0D">
      <w:pPr>
        <w:widowControl/>
        <w:spacing w:line="620" w:lineRule="exact"/>
        <w:ind w:firstLineChars="200" w:firstLine="643"/>
        <w:jc w:val="left"/>
        <w:rPr>
          <w:rFonts w:ascii="仿宋" w:eastAsia="仿宋" w:hAnsi="仿宋" w:cs="Times New Roman"/>
          <w:b/>
          <w:bCs/>
          <w:kern w:val="0"/>
          <w:sz w:val="32"/>
          <w:szCs w:val="32"/>
        </w:rPr>
      </w:pPr>
      <w:r>
        <w:rPr>
          <w:rFonts w:ascii="仿宋" w:eastAsia="仿宋" w:hAnsi="仿宋" w:cs="仿宋" w:hint="eastAsia"/>
          <w:b/>
          <w:bCs/>
          <w:kern w:val="0"/>
          <w:sz w:val="32"/>
          <w:szCs w:val="32"/>
        </w:rPr>
        <w:t>合理用药要点：</w:t>
      </w:r>
    </w:p>
    <w:p w:rsidR="00B23A40" w:rsidRDefault="00DD1A0D">
      <w:pPr>
        <w:widowControl/>
        <w:spacing w:line="620" w:lineRule="exact"/>
        <w:ind w:firstLineChars="200" w:firstLine="640"/>
        <w:jc w:val="left"/>
        <w:rPr>
          <w:rFonts w:ascii="仿宋" w:eastAsia="仿宋" w:hAnsi="仿宋" w:cs="Times New Roman"/>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用药前必须经由国家药品监督管理局批准的检测方法确定肿瘤为</w:t>
      </w:r>
      <w:r>
        <w:rPr>
          <w:rFonts w:ascii="仿宋" w:eastAsia="仿宋" w:hAnsi="仿宋" w:cs="仿宋"/>
          <w:kern w:val="0"/>
          <w:sz w:val="32"/>
          <w:szCs w:val="32"/>
        </w:rPr>
        <w:t>C-KIT</w:t>
      </w:r>
      <w:r>
        <w:rPr>
          <w:rFonts w:ascii="仿宋" w:eastAsia="仿宋" w:hAnsi="仿宋" w:cs="仿宋" w:hint="eastAsia"/>
          <w:kern w:val="0"/>
          <w:sz w:val="32"/>
          <w:szCs w:val="32"/>
        </w:rPr>
        <w:t>突变阳性，才可使用伊马替尼治疗，免疫组化</w:t>
      </w:r>
      <w:r>
        <w:rPr>
          <w:rFonts w:ascii="仿宋" w:eastAsia="仿宋" w:hAnsi="仿宋" w:cs="仿宋"/>
          <w:kern w:val="0"/>
          <w:sz w:val="32"/>
          <w:szCs w:val="32"/>
        </w:rPr>
        <w:t>CD117</w:t>
      </w:r>
      <w:r>
        <w:rPr>
          <w:rFonts w:ascii="仿宋" w:eastAsia="仿宋" w:hAnsi="仿宋" w:cs="仿宋" w:hint="eastAsia"/>
          <w:kern w:val="0"/>
          <w:sz w:val="32"/>
          <w:szCs w:val="32"/>
        </w:rPr>
        <w:t>阳性不能替代</w:t>
      </w:r>
      <w:r>
        <w:rPr>
          <w:rFonts w:ascii="仿宋" w:eastAsia="仿宋" w:hAnsi="仿宋" w:cs="仿宋"/>
          <w:kern w:val="0"/>
          <w:sz w:val="32"/>
          <w:szCs w:val="32"/>
        </w:rPr>
        <w:t>KIT</w:t>
      </w:r>
      <w:r>
        <w:rPr>
          <w:rFonts w:ascii="仿宋" w:eastAsia="仿宋" w:hAnsi="仿宋" w:cs="仿宋" w:hint="eastAsia"/>
          <w:kern w:val="0"/>
          <w:sz w:val="32"/>
          <w:szCs w:val="32"/>
        </w:rPr>
        <w:t>突变基因检测，伊马替尼不能用于</w:t>
      </w:r>
      <w:r>
        <w:rPr>
          <w:rFonts w:ascii="仿宋" w:eastAsia="仿宋" w:hAnsi="仿宋" w:cs="仿宋"/>
          <w:kern w:val="0"/>
          <w:sz w:val="32"/>
          <w:szCs w:val="32"/>
        </w:rPr>
        <w:t>KIT</w:t>
      </w:r>
      <w:r>
        <w:rPr>
          <w:rFonts w:ascii="仿宋" w:eastAsia="仿宋" w:hAnsi="仿宋" w:cs="仿宋" w:hint="eastAsia"/>
          <w:kern w:val="0"/>
          <w:sz w:val="32"/>
          <w:szCs w:val="32"/>
        </w:rPr>
        <w:t>野生型黑色素瘤患者。</w:t>
      </w:r>
    </w:p>
    <w:p w:rsidR="00B23A40" w:rsidRDefault="00DD1A0D">
      <w:pPr>
        <w:widowControl/>
        <w:spacing w:line="620" w:lineRule="exact"/>
        <w:ind w:firstLineChars="200" w:firstLine="640"/>
        <w:jc w:val="left"/>
        <w:rPr>
          <w:rFonts w:ascii="仿宋" w:eastAsia="仿宋" w:hAnsi="仿宋" w:cs="Times New Roman"/>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对于</w:t>
      </w:r>
      <w:r>
        <w:rPr>
          <w:rFonts w:ascii="仿宋" w:eastAsia="仿宋" w:hAnsi="仿宋" w:cs="仿宋"/>
          <w:kern w:val="0"/>
          <w:sz w:val="32"/>
          <w:szCs w:val="32"/>
        </w:rPr>
        <w:t>KIT</w:t>
      </w:r>
      <w:r>
        <w:rPr>
          <w:rFonts w:ascii="仿宋" w:eastAsia="仿宋" w:hAnsi="仿宋" w:cs="仿宋" w:hint="eastAsia"/>
          <w:kern w:val="0"/>
          <w:sz w:val="32"/>
          <w:szCs w:val="32"/>
        </w:rPr>
        <w:t>突变的晚期黑色素瘤患者的推荐剂量为</w:t>
      </w:r>
      <w:r>
        <w:rPr>
          <w:rFonts w:ascii="仿宋" w:eastAsia="仿宋" w:hAnsi="仿宋" w:cs="仿宋"/>
          <w:kern w:val="0"/>
          <w:sz w:val="32"/>
          <w:szCs w:val="32"/>
        </w:rPr>
        <w:t>400mg</w:t>
      </w:r>
      <w:r>
        <w:rPr>
          <w:rFonts w:ascii="仿宋" w:eastAsia="仿宋" w:hAnsi="仿宋" w:cs="仿宋" w:hint="eastAsia"/>
          <w:kern w:val="0"/>
          <w:sz w:val="32"/>
          <w:szCs w:val="32"/>
        </w:rPr>
        <w:t>；</w:t>
      </w:r>
      <w:r>
        <w:rPr>
          <w:rFonts w:ascii="仿宋" w:eastAsia="仿宋" w:hAnsi="仿宋" w:cs="仿宋"/>
          <w:kern w:val="0"/>
          <w:sz w:val="32"/>
          <w:szCs w:val="32"/>
        </w:rPr>
        <w:t>400mg</w:t>
      </w:r>
      <w:r>
        <w:rPr>
          <w:rFonts w:ascii="仿宋" w:eastAsia="仿宋" w:hAnsi="仿宋" w:cs="仿宋" w:hint="eastAsia"/>
          <w:kern w:val="0"/>
          <w:sz w:val="32"/>
          <w:szCs w:val="32"/>
        </w:rPr>
        <w:t>治疗进展后可遵医嘱增量至</w:t>
      </w:r>
      <w:r>
        <w:rPr>
          <w:rFonts w:ascii="仿宋" w:eastAsia="仿宋" w:hAnsi="仿宋" w:cs="仿宋"/>
          <w:kern w:val="0"/>
          <w:sz w:val="32"/>
          <w:szCs w:val="32"/>
        </w:rPr>
        <w:t>600mg</w:t>
      </w:r>
      <w:r>
        <w:rPr>
          <w:rFonts w:ascii="仿宋" w:eastAsia="仿宋" w:hAnsi="仿宋" w:cs="仿宋" w:hint="eastAsia"/>
          <w:kern w:val="0"/>
          <w:sz w:val="32"/>
          <w:szCs w:val="32"/>
        </w:rPr>
        <w:t>、</w:t>
      </w:r>
      <w:r>
        <w:rPr>
          <w:rFonts w:ascii="仿宋" w:eastAsia="仿宋" w:hAnsi="仿宋" w:cs="仿宋"/>
          <w:kern w:val="0"/>
          <w:sz w:val="32"/>
          <w:szCs w:val="32"/>
        </w:rPr>
        <w:t>800mg</w:t>
      </w:r>
      <w:r>
        <w:rPr>
          <w:rFonts w:ascii="仿宋" w:eastAsia="仿宋" w:hAnsi="仿宋" w:cs="仿宋" w:hint="eastAsia"/>
          <w:kern w:val="0"/>
          <w:sz w:val="32"/>
          <w:szCs w:val="32"/>
        </w:rPr>
        <w:t>，仍有部分患者获益，但不良反应亦加重。</w:t>
      </w:r>
    </w:p>
    <w:p w:rsidR="00B23A40" w:rsidRDefault="00DD1A0D">
      <w:pPr>
        <w:widowControl/>
        <w:spacing w:line="620" w:lineRule="exact"/>
        <w:ind w:firstLineChars="200" w:firstLine="640"/>
        <w:jc w:val="left"/>
        <w:rPr>
          <w:rFonts w:ascii="仿宋" w:eastAsia="仿宋" w:hAnsi="仿宋" w:cs="Times New Roman"/>
          <w:kern w:val="0"/>
          <w:sz w:val="32"/>
          <w:szCs w:val="32"/>
        </w:rPr>
      </w:pPr>
      <w:r>
        <w:rPr>
          <w:rFonts w:ascii="仿宋" w:eastAsia="仿宋" w:hAnsi="仿宋" w:cs="仿宋"/>
          <w:kern w:val="0"/>
          <w:sz w:val="32"/>
          <w:szCs w:val="32"/>
        </w:rPr>
        <w:t>3.</w:t>
      </w:r>
      <w:r>
        <w:rPr>
          <w:rFonts w:ascii="仿宋" w:eastAsia="仿宋" w:hAnsi="仿宋" w:cs="仿宋" w:hint="eastAsia"/>
          <w:kern w:val="0"/>
          <w:sz w:val="32"/>
          <w:szCs w:val="32"/>
        </w:rPr>
        <w:t>用药期间常见的反应包括水肿、乏力、食欲减退、皮疹、粒细胞下降等，服药期间应定期检测血常规、肝肾功能。</w:t>
      </w:r>
    </w:p>
    <w:p w:rsidR="00B23A40" w:rsidRDefault="00DD1A0D">
      <w:pPr>
        <w:widowControl/>
        <w:spacing w:line="620" w:lineRule="exact"/>
        <w:ind w:firstLineChars="200" w:firstLine="640"/>
        <w:jc w:val="left"/>
        <w:rPr>
          <w:rFonts w:ascii="仿宋" w:eastAsia="仿宋" w:hAnsi="仿宋" w:cs="Times New Roman"/>
          <w:kern w:val="0"/>
          <w:sz w:val="32"/>
          <w:szCs w:val="32"/>
        </w:rPr>
      </w:pPr>
      <w:r>
        <w:rPr>
          <w:rFonts w:ascii="仿宋" w:eastAsia="仿宋" w:hAnsi="仿宋" w:cs="仿宋"/>
          <w:kern w:val="0"/>
          <w:sz w:val="32"/>
          <w:szCs w:val="32"/>
        </w:rPr>
        <w:t>4.</w:t>
      </w:r>
      <w:r>
        <w:rPr>
          <w:rFonts w:ascii="仿宋" w:eastAsia="仿宋" w:hAnsi="仿宋" w:cs="仿宋" w:hint="eastAsia"/>
          <w:kern w:val="0"/>
          <w:sz w:val="32"/>
          <w:szCs w:val="32"/>
        </w:rPr>
        <w:t>不能吞咽药片的患者，可以将药片分散于不含气体的水中（</w:t>
      </w:r>
      <w:r>
        <w:rPr>
          <w:rFonts w:ascii="仿宋" w:eastAsia="仿宋" w:hAnsi="仿宋" w:cs="仿宋"/>
          <w:kern w:val="0"/>
          <w:sz w:val="32"/>
          <w:szCs w:val="32"/>
        </w:rPr>
        <w:t>100mg</w:t>
      </w:r>
      <w:r>
        <w:rPr>
          <w:rFonts w:ascii="仿宋" w:eastAsia="仿宋" w:hAnsi="仿宋" w:cs="仿宋" w:hint="eastAsia"/>
          <w:kern w:val="0"/>
          <w:sz w:val="32"/>
          <w:szCs w:val="32"/>
        </w:rPr>
        <w:t>片约用</w:t>
      </w:r>
      <w:r>
        <w:rPr>
          <w:rFonts w:ascii="仿宋" w:eastAsia="仿宋" w:hAnsi="仿宋" w:cs="仿宋"/>
          <w:kern w:val="0"/>
          <w:sz w:val="32"/>
          <w:szCs w:val="32"/>
        </w:rPr>
        <w:t>50ml</w:t>
      </w:r>
      <w:r>
        <w:rPr>
          <w:rFonts w:ascii="仿宋" w:eastAsia="仿宋" w:hAnsi="仿宋" w:cs="仿宋" w:hint="eastAsia"/>
          <w:kern w:val="0"/>
          <w:sz w:val="32"/>
          <w:szCs w:val="32"/>
        </w:rPr>
        <w:t>，</w:t>
      </w:r>
      <w:r>
        <w:rPr>
          <w:rFonts w:ascii="仿宋" w:eastAsia="仿宋" w:hAnsi="仿宋" w:cs="仿宋"/>
          <w:kern w:val="0"/>
          <w:sz w:val="32"/>
          <w:szCs w:val="32"/>
        </w:rPr>
        <w:t>400mg</w:t>
      </w:r>
      <w:r>
        <w:rPr>
          <w:rFonts w:ascii="仿宋" w:eastAsia="仿宋" w:hAnsi="仿宋" w:cs="仿宋" w:hint="eastAsia"/>
          <w:kern w:val="0"/>
          <w:sz w:val="32"/>
          <w:szCs w:val="32"/>
        </w:rPr>
        <w:t>约用</w:t>
      </w:r>
      <w:r>
        <w:rPr>
          <w:rFonts w:ascii="仿宋" w:eastAsia="仿宋" w:hAnsi="仿宋" w:cs="仿宋"/>
          <w:kern w:val="0"/>
          <w:sz w:val="32"/>
          <w:szCs w:val="32"/>
        </w:rPr>
        <w:t>200ml</w:t>
      </w:r>
      <w:r>
        <w:rPr>
          <w:rFonts w:ascii="仿宋" w:eastAsia="仿宋" w:hAnsi="仿宋" w:cs="仿宋" w:hint="eastAsia"/>
          <w:kern w:val="0"/>
          <w:sz w:val="32"/>
          <w:szCs w:val="32"/>
        </w:rPr>
        <w:t>）。应搅拌混悬液，一旦药片崩解完全应立即服用。</w:t>
      </w:r>
    </w:p>
    <w:p w:rsidR="00B23A40" w:rsidRDefault="00DD1A0D">
      <w:pPr>
        <w:widowControl/>
        <w:spacing w:line="620" w:lineRule="exact"/>
        <w:ind w:firstLineChars="200" w:firstLine="640"/>
        <w:jc w:val="left"/>
        <w:rPr>
          <w:rFonts w:ascii="仿宋" w:eastAsia="仿宋" w:hAnsi="仿宋" w:cs="Times New Roman"/>
          <w:kern w:val="0"/>
          <w:sz w:val="32"/>
          <w:szCs w:val="32"/>
        </w:rPr>
      </w:pPr>
      <w:r>
        <w:rPr>
          <w:rFonts w:ascii="仿宋" w:eastAsia="仿宋" w:hAnsi="仿宋" w:cs="仿宋"/>
          <w:kern w:val="0"/>
          <w:sz w:val="32"/>
          <w:szCs w:val="32"/>
        </w:rPr>
        <w:t>5.</w:t>
      </w:r>
      <w:r>
        <w:rPr>
          <w:rFonts w:ascii="仿宋" w:eastAsia="仿宋" w:hAnsi="仿宋" w:cs="仿宋" w:hint="eastAsia"/>
          <w:kern w:val="0"/>
          <w:sz w:val="32"/>
          <w:szCs w:val="32"/>
        </w:rPr>
        <w:t>避免伊马替尼与</w:t>
      </w:r>
      <w:r>
        <w:rPr>
          <w:rFonts w:ascii="仿宋" w:eastAsia="仿宋" w:hAnsi="仿宋" w:cs="仿宋"/>
          <w:kern w:val="0"/>
          <w:sz w:val="32"/>
          <w:szCs w:val="32"/>
        </w:rPr>
        <w:t>CYP3A4</w:t>
      </w:r>
      <w:r>
        <w:rPr>
          <w:rFonts w:ascii="仿宋" w:eastAsia="仿宋" w:hAnsi="仿宋" w:cs="仿宋" w:hint="eastAsia"/>
          <w:kern w:val="0"/>
          <w:sz w:val="32"/>
          <w:szCs w:val="32"/>
        </w:rPr>
        <w:t>诱导剂或抑制剂合用。</w:t>
      </w:r>
    </w:p>
    <w:p w:rsidR="00B23A40" w:rsidRDefault="00DD1A0D">
      <w:pPr>
        <w:spacing w:line="600" w:lineRule="exact"/>
        <w:ind w:firstLineChars="200" w:firstLine="640"/>
        <w:rPr>
          <w:rFonts w:ascii="黑体" w:eastAsia="黑体" w:hAnsi="黑体" w:cs="Times New Roman"/>
          <w:sz w:val="32"/>
          <w:szCs w:val="32"/>
          <w:lang w:val="fr-FR"/>
        </w:rPr>
      </w:pPr>
      <w:r>
        <w:rPr>
          <w:rFonts w:ascii="黑体" w:eastAsia="黑体" w:hAnsi="黑体" w:cs="黑体" w:hint="eastAsia"/>
          <w:sz w:val="32"/>
          <w:szCs w:val="32"/>
          <w:lang w:val="fr-FR"/>
        </w:rPr>
        <w:t>二、</w:t>
      </w:r>
      <w:r>
        <w:rPr>
          <w:rFonts w:ascii="黑体" w:eastAsia="黑体" w:hAnsi="黑体" w:cs="黑体" w:hint="eastAsia"/>
          <w:color w:val="000000"/>
          <w:kern w:val="0"/>
          <w:sz w:val="32"/>
          <w:szCs w:val="32"/>
        </w:rPr>
        <w:t>维莫非尼 v</w:t>
      </w:r>
      <w:r>
        <w:rPr>
          <w:rFonts w:ascii="黑体" w:eastAsia="黑体" w:hAnsi="黑体" w:cs="黑体"/>
          <w:color w:val="000000"/>
          <w:kern w:val="0"/>
          <w:sz w:val="32"/>
          <w:szCs w:val="32"/>
        </w:rPr>
        <w:t>emurafenib</w:t>
      </w:r>
    </w:p>
    <w:p w:rsidR="00B23A40" w:rsidRDefault="00DD1A0D">
      <w:pPr>
        <w:autoSpaceDE w:val="0"/>
        <w:autoSpaceDN w:val="0"/>
        <w:adjustRightInd w:val="0"/>
        <w:spacing w:line="360" w:lineRule="auto"/>
        <w:ind w:firstLineChars="200" w:firstLine="643"/>
        <w:jc w:val="left"/>
        <w:rPr>
          <w:rFonts w:ascii="仿宋" w:eastAsia="仿宋" w:hAnsi="仿宋" w:cs="仿宋"/>
          <w:color w:val="000000"/>
          <w:kern w:val="0"/>
          <w:sz w:val="32"/>
          <w:szCs w:val="32"/>
          <w:lang w:val="fr-FR"/>
        </w:rPr>
      </w:pPr>
      <w:r>
        <w:rPr>
          <w:rFonts w:ascii="仿宋" w:eastAsia="仿宋" w:hAnsi="仿宋" w:cs="仿宋" w:hint="eastAsia"/>
          <w:b/>
          <w:bCs/>
          <w:color w:val="000000"/>
          <w:kern w:val="0"/>
          <w:sz w:val="32"/>
          <w:szCs w:val="32"/>
        </w:rPr>
        <w:lastRenderedPageBreak/>
        <w:t>制剂与规格</w:t>
      </w:r>
      <w:r>
        <w:rPr>
          <w:rFonts w:ascii="仿宋" w:eastAsia="仿宋" w:hAnsi="仿宋" w:cs="仿宋" w:hint="eastAsia"/>
          <w:b/>
          <w:bCs/>
          <w:color w:val="000000"/>
          <w:kern w:val="0"/>
          <w:sz w:val="32"/>
          <w:szCs w:val="32"/>
          <w:lang w:val="fr-FR"/>
        </w:rPr>
        <w:t>：</w:t>
      </w:r>
      <w:r>
        <w:rPr>
          <w:rFonts w:ascii="仿宋" w:eastAsia="仿宋" w:hAnsi="仿宋" w:cs="仿宋" w:hint="eastAsia"/>
          <w:color w:val="000000"/>
          <w:kern w:val="0"/>
          <w:sz w:val="32"/>
          <w:szCs w:val="32"/>
        </w:rPr>
        <w:t>片剂：</w:t>
      </w:r>
      <w:r>
        <w:rPr>
          <w:rFonts w:ascii="仿宋" w:eastAsia="仿宋" w:hAnsi="仿宋" w:cs="仿宋"/>
          <w:color w:val="000000"/>
          <w:kern w:val="0"/>
          <w:sz w:val="32"/>
          <w:szCs w:val="32"/>
          <w:lang w:val="fr-FR"/>
        </w:rPr>
        <w:t xml:space="preserve">240mg </w:t>
      </w:r>
    </w:p>
    <w:p w:rsidR="00B23A40" w:rsidRDefault="00DD1A0D">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rPr>
        <w:t>适应证：</w:t>
      </w:r>
      <w:r>
        <w:rPr>
          <w:rFonts w:ascii="仿宋" w:eastAsia="仿宋" w:hAnsi="仿宋" w:cs="仿宋" w:hint="eastAsia"/>
          <w:sz w:val="32"/>
          <w:szCs w:val="32"/>
        </w:rPr>
        <w:t>经国家药品监督管理局批准的检测方法确定的</w:t>
      </w:r>
      <w:r>
        <w:rPr>
          <w:rFonts w:ascii="仿宋" w:eastAsia="仿宋" w:hAnsi="仿宋" w:cs="仿宋"/>
          <w:sz w:val="32"/>
          <w:szCs w:val="32"/>
        </w:rPr>
        <w:t>BRAFV600</w:t>
      </w:r>
      <w:r>
        <w:rPr>
          <w:rFonts w:ascii="仿宋" w:eastAsia="仿宋" w:hAnsi="仿宋" w:cs="仿宋" w:hint="eastAsia"/>
          <w:sz w:val="32"/>
          <w:szCs w:val="32"/>
        </w:rPr>
        <w:t>突变阳性的不可切除或转移性黑色素瘤。</w:t>
      </w:r>
    </w:p>
    <w:p w:rsidR="00B23A40" w:rsidRDefault="00DD1A0D">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用药前必须经由国家药品监督管理局批准的检测方法确定肿瘤为</w:t>
      </w:r>
      <w:r>
        <w:rPr>
          <w:rFonts w:ascii="仿宋" w:eastAsia="仿宋" w:hAnsi="仿宋" w:cs="仿宋"/>
          <w:sz w:val="32"/>
          <w:szCs w:val="32"/>
        </w:rPr>
        <w:t>BRAFV600</w:t>
      </w:r>
      <w:r>
        <w:rPr>
          <w:rFonts w:ascii="仿宋" w:eastAsia="仿宋" w:hAnsi="仿宋" w:cs="仿宋" w:hint="eastAsia"/>
          <w:sz w:val="32"/>
          <w:szCs w:val="32"/>
        </w:rPr>
        <w:t>突变阳性，才可使用维莫非尼治疗，维莫非尼不能用于</w:t>
      </w:r>
      <w:r>
        <w:rPr>
          <w:rFonts w:ascii="仿宋" w:eastAsia="仿宋" w:hAnsi="仿宋" w:cs="仿宋"/>
          <w:sz w:val="32"/>
          <w:szCs w:val="32"/>
        </w:rPr>
        <w:t>BRAF</w:t>
      </w:r>
      <w:r>
        <w:rPr>
          <w:rFonts w:ascii="仿宋" w:eastAsia="仿宋" w:hAnsi="仿宋" w:cs="仿宋" w:hint="eastAsia"/>
          <w:sz w:val="32"/>
          <w:szCs w:val="32"/>
        </w:rPr>
        <w:t>野生型黑色素瘤患者</w:t>
      </w:r>
      <w:r>
        <w:rPr>
          <w:rFonts w:ascii="仿宋" w:eastAsia="仿宋" w:hAnsi="仿宋" w:cs="仿宋" w:hint="eastAsia"/>
          <w:i/>
          <w:iCs/>
          <w:sz w:val="32"/>
          <w:szCs w:val="32"/>
        </w:rPr>
        <w:t>。</w:t>
      </w:r>
    </w:p>
    <w:p w:rsidR="00B23A40" w:rsidRDefault="00DD1A0D">
      <w:pPr>
        <w:spacing w:line="360" w:lineRule="auto"/>
        <w:ind w:firstLineChars="200" w:firstLine="610"/>
        <w:rPr>
          <w:rFonts w:ascii="仿宋" w:eastAsia="仿宋" w:hAnsi="仿宋" w:cs="Times New Roman"/>
          <w:w w:val="96"/>
          <w:sz w:val="32"/>
          <w:szCs w:val="32"/>
        </w:rPr>
      </w:pPr>
      <w:r>
        <w:rPr>
          <w:rFonts w:ascii="仿宋" w:eastAsia="仿宋" w:hAnsi="仿宋" w:cs="仿宋"/>
          <w:w w:val="96"/>
          <w:sz w:val="32"/>
          <w:szCs w:val="32"/>
        </w:rPr>
        <w:t>2.</w:t>
      </w:r>
      <w:r>
        <w:rPr>
          <w:rFonts w:ascii="仿宋" w:eastAsia="仿宋" w:hAnsi="仿宋" w:cs="仿宋" w:hint="eastAsia"/>
          <w:w w:val="96"/>
          <w:sz w:val="32"/>
          <w:szCs w:val="32"/>
        </w:rPr>
        <w:t>用药期间必须注意常见的皮肤反应如皮疹，光敏反应等</w:t>
      </w:r>
      <w:r>
        <w:rPr>
          <w:rFonts w:ascii="仿宋" w:eastAsia="仿宋" w:hAnsi="仿宋" w:cs="仿宋" w:hint="eastAsia"/>
          <w:i/>
          <w:iCs/>
          <w:w w:val="96"/>
          <w:sz w:val="32"/>
          <w:szCs w:val="32"/>
        </w:rPr>
        <w:t>。</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基线时</w:t>
      </w:r>
      <w:r>
        <w:rPr>
          <w:rFonts w:ascii="仿宋" w:eastAsia="仿宋" w:hAnsi="仿宋" w:cs="仿宋"/>
          <w:sz w:val="32"/>
          <w:szCs w:val="32"/>
        </w:rPr>
        <w:t>QTc</w:t>
      </w:r>
      <w:r>
        <w:rPr>
          <w:rFonts w:ascii="仿宋" w:eastAsia="仿宋" w:hAnsi="仿宋" w:cs="仿宋" w:hint="eastAsia"/>
          <w:sz w:val="32"/>
          <w:szCs w:val="32"/>
        </w:rPr>
        <w:t>＞</w:t>
      </w:r>
      <w:r>
        <w:rPr>
          <w:rFonts w:ascii="仿宋" w:eastAsia="仿宋" w:hAnsi="仿宋" w:cs="仿宋"/>
          <w:sz w:val="32"/>
          <w:szCs w:val="32"/>
        </w:rPr>
        <w:t>500ms</w:t>
      </w:r>
      <w:r>
        <w:rPr>
          <w:rFonts w:ascii="仿宋" w:eastAsia="仿宋" w:hAnsi="仿宋" w:cs="仿宋" w:hint="eastAsia"/>
          <w:sz w:val="32"/>
          <w:szCs w:val="32"/>
        </w:rPr>
        <w:t>不建议开始服用维莫非尼，对于存在无法纠正的电解质异常、长</w:t>
      </w:r>
      <w:r>
        <w:rPr>
          <w:rFonts w:ascii="仿宋" w:eastAsia="仿宋" w:hAnsi="仿宋" w:cs="仿宋"/>
          <w:sz w:val="32"/>
          <w:szCs w:val="32"/>
        </w:rPr>
        <w:t>QT</w:t>
      </w:r>
      <w:r>
        <w:rPr>
          <w:rFonts w:ascii="仿宋" w:eastAsia="仿宋" w:hAnsi="仿宋" w:cs="仿宋" w:hint="eastAsia"/>
          <w:sz w:val="32"/>
          <w:szCs w:val="32"/>
        </w:rPr>
        <w:t>综合征或正在服用已知能延长</w:t>
      </w:r>
      <w:r>
        <w:rPr>
          <w:rFonts w:ascii="仿宋" w:eastAsia="仿宋" w:hAnsi="仿宋" w:cs="仿宋"/>
          <w:sz w:val="32"/>
          <w:szCs w:val="32"/>
        </w:rPr>
        <w:t>QT</w:t>
      </w:r>
      <w:r>
        <w:rPr>
          <w:rFonts w:ascii="仿宋" w:eastAsia="仿宋" w:hAnsi="仿宋" w:cs="仿宋" w:hint="eastAsia"/>
          <w:sz w:val="32"/>
          <w:szCs w:val="32"/>
        </w:rPr>
        <w:t>间期的药物的患者，不建议采用维莫非尼治疗</w:t>
      </w:r>
      <w:r>
        <w:rPr>
          <w:rFonts w:ascii="仿宋" w:eastAsia="仿宋" w:hAnsi="仿宋" w:cs="仿宋" w:hint="eastAsia"/>
          <w:i/>
          <w:iCs/>
          <w:sz w:val="32"/>
          <w:szCs w:val="32"/>
        </w:rPr>
        <w:t>。</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不建议</w:t>
      </w:r>
      <w:r>
        <w:rPr>
          <w:rFonts w:ascii="仿宋" w:eastAsia="仿宋" w:hAnsi="仿宋" w:cs="仿宋"/>
          <w:sz w:val="32"/>
          <w:szCs w:val="32"/>
        </w:rPr>
        <w:t>Ipilimumab</w:t>
      </w:r>
      <w:r>
        <w:rPr>
          <w:rFonts w:ascii="仿宋" w:eastAsia="仿宋" w:hAnsi="仿宋" w:cs="仿宋" w:hint="eastAsia"/>
          <w:sz w:val="32"/>
          <w:szCs w:val="32"/>
        </w:rPr>
        <w:t>与维莫非尼联合用药</w:t>
      </w:r>
      <w:r>
        <w:rPr>
          <w:rFonts w:ascii="仿宋" w:eastAsia="仿宋" w:hAnsi="仿宋" w:cs="仿宋" w:hint="eastAsia"/>
          <w:i/>
          <w:iCs/>
          <w:sz w:val="32"/>
          <w:szCs w:val="32"/>
        </w:rPr>
        <w:t>。</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5.</w:t>
      </w:r>
      <w:r>
        <w:rPr>
          <w:rFonts w:ascii="仿宋" w:eastAsia="仿宋" w:hAnsi="仿宋" w:cs="仿宋" w:hint="eastAsia"/>
          <w:sz w:val="32"/>
          <w:szCs w:val="32"/>
        </w:rPr>
        <w:t>妊娠期妇女禁止使用维莫非尼，除非对于母亲的可能受益超过对胎儿的可能风险。必须在权衡哺乳喂养对婴儿的益处以及治疗对母亲的益处之后，做出是否停止母乳喂养或停止维莫非尼治疗的决定</w:t>
      </w:r>
      <w:r>
        <w:rPr>
          <w:rFonts w:ascii="仿宋" w:eastAsia="仿宋" w:hAnsi="仿宋" w:cs="仿宋" w:hint="eastAsia"/>
          <w:i/>
          <w:iCs/>
          <w:sz w:val="32"/>
          <w:szCs w:val="32"/>
        </w:rPr>
        <w:t>。</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6.</w:t>
      </w:r>
      <w:r>
        <w:rPr>
          <w:rFonts w:ascii="仿宋" w:eastAsia="仿宋" w:hAnsi="仿宋" w:cs="仿宋" w:hint="eastAsia"/>
          <w:sz w:val="32"/>
          <w:szCs w:val="32"/>
        </w:rPr>
        <w:t>不建议维莫非尼与经</w:t>
      </w:r>
      <w:r>
        <w:rPr>
          <w:rFonts w:ascii="仿宋" w:eastAsia="仿宋" w:hAnsi="仿宋" w:cs="仿宋"/>
          <w:sz w:val="32"/>
          <w:szCs w:val="32"/>
        </w:rPr>
        <w:t>CYP1A2</w:t>
      </w:r>
      <w:r>
        <w:rPr>
          <w:rFonts w:ascii="仿宋" w:eastAsia="仿宋" w:hAnsi="仿宋" w:cs="仿宋" w:hint="eastAsia"/>
          <w:sz w:val="32"/>
          <w:szCs w:val="32"/>
        </w:rPr>
        <w:t>和</w:t>
      </w:r>
      <w:r>
        <w:rPr>
          <w:rFonts w:ascii="仿宋" w:eastAsia="仿宋" w:hAnsi="仿宋" w:cs="仿宋"/>
          <w:sz w:val="32"/>
          <w:szCs w:val="32"/>
        </w:rPr>
        <w:t>CYP3A4</w:t>
      </w:r>
      <w:r>
        <w:rPr>
          <w:rFonts w:ascii="仿宋" w:eastAsia="仿宋" w:hAnsi="仿宋" w:cs="仿宋" w:hint="eastAsia"/>
          <w:sz w:val="32"/>
          <w:szCs w:val="32"/>
        </w:rPr>
        <w:t>代谢的治疗窗较窄的药物联合应用，在与维莫非尼联合用药的情况下，应慎用强效</w:t>
      </w:r>
      <w:r>
        <w:rPr>
          <w:rFonts w:ascii="仿宋" w:eastAsia="仿宋" w:hAnsi="仿宋" w:cs="仿宋"/>
          <w:sz w:val="32"/>
          <w:szCs w:val="32"/>
        </w:rPr>
        <w:t>CYP3A4</w:t>
      </w:r>
      <w:r>
        <w:rPr>
          <w:rFonts w:ascii="仿宋" w:eastAsia="仿宋" w:hAnsi="仿宋" w:cs="仿宋" w:hint="eastAsia"/>
          <w:sz w:val="32"/>
          <w:szCs w:val="32"/>
        </w:rPr>
        <w:t>抑制剂。</w:t>
      </w:r>
    </w:p>
    <w:p w:rsidR="00B23A40" w:rsidRDefault="00DD1A0D">
      <w:pPr>
        <w:ind w:firstLineChars="200" w:firstLine="640"/>
        <w:rPr>
          <w:rFonts w:ascii="黑体" w:eastAsia="黑体" w:hAnsi="黑体"/>
          <w:color w:val="000000"/>
          <w:sz w:val="32"/>
          <w:szCs w:val="32"/>
        </w:rPr>
      </w:pPr>
      <w:r>
        <w:rPr>
          <w:rFonts w:ascii="黑体" w:eastAsia="黑体" w:hAnsi="黑体" w:hint="eastAsia"/>
          <w:color w:val="000000"/>
          <w:sz w:val="32"/>
          <w:szCs w:val="32"/>
        </w:rPr>
        <w:t>三、帕博利珠单抗 p</w:t>
      </w:r>
      <w:r>
        <w:rPr>
          <w:rFonts w:ascii="黑体" w:eastAsia="黑体" w:hAnsi="黑体"/>
          <w:color w:val="000000"/>
          <w:sz w:val="32"/>
          <w:szCs w:val="32"/>
        </w:rPr>
        <w:t>embrolizumab</w:t>
      </w:r>
    </w:p>
    <w:p w:rsidR="00B23A40" w:rsidRDefault="00DD1A0D">
      <w:pPr>
        <w:ind w:firstLineChars="200" w:firstLine="643"/>
        <w:rPr>
          <w:rFonts w:ascii="仿宋" w:eastAsia="仿宋" w:hAnsi="仿宋"/>
          <w:color w:val="000000"/>
          <w:sz w:val="32"/>
          <w:szCs w:val="32"/>
        </w:rPr>
      </w:pPr>
      <w:r>
        <w:rPr>
          <w:rFonts w:ascii="仿宋" w:eastAsia="仿宋" w:hAnsi="仿宋" w:hint="eastAsia"/>
          <w:b/>
          <w:color w:val="000000"/>
          <w:sz w:val="32"/>
          <w:szCs w:val="32"/>
        </w:rPr>
        <w:t>制剂与规格：</w:t>
      </w:r>
      <w:r>
        <w:rPr>
          <w:rFonts w:ascii="仿宋" w:eastAsia="仿宋" w:hAnsi="仿宋" w:hint="eastAsia"/>
          <w:color w:val="000000"/>
          <w:sz w:val="32"/>
          <w:szCs w:val="32"/>
        </w:rPr>
        <w:t>注射液：100mg（4ml）/瓶</w:t>
      </w:r>
    </w:p>
    <w:p w:rsidR="00B23A40" w:rsidRDefault="00DD1A0D">
      <w:pPr>
        <w:ind w:firstLineChars="200" w:firstLine="643"/>
        <w:rPr>
          <w:rFonts w:ascii="仿宋" w:eastAsia="仿宋" w:hAnsi="仿宋"/>
          <w:color w:val="000000"/>
          <w:sz w:val="32"/>
          <w:szCs w:val="32"/>
        </w:rPr>
      </w:pPr>
      <w:r>
        <w:rPr>
          <w:rFonts w:ascii="仿宋" w:eastAsia="仿宋" w:hAnsi="仿宋" w:hint="eastAsia"/>
          <w:b/>
          <w:color w:val="000000"/>
          <w:sz w:val="32"/>
          <w:szCs w:val="32"/>
        </w:rPr>
        <w:t>适应证：</w:t>
      </w:r>
      <w:r>
        <w:rPr>
          <w:rFonts w:ascii="仿宋" w:eastAsia="仿宋" w:hAnsi="仿宋" w:hint="eastAsia"/>
          <w:color w:val="000000"/>
          <w:sz w:val="32"/>
          <w:szCs w:val="32"/>
        </w:rPr>
        <w:t>适用于经一线治疗治疗失败的不可切除或转移</w:t>
      </w:r>
      <w:r>
        <w:rPr>
          <w:rFonts w:ascii="仿宋" w:eastAsia="仿宋" w:hAnsi="仿宋" w:hint="eastAsia"/>
          <w:color w:val="000000"/>
          <w:sz w:val="32"/>
          <w:szCs w:val="32"/>
        </w:rPr>
        <w:lastRenderedPageBreak/>
        <w:t>性黑色素瘤的治疗。</w:t>
      </w:r>
    </w:p>
    <w:p w:rsidR="00B23A40" w:rsidRDefault="00DD1A0D">
      <w:pPr>
        <w:ind w:firstLineChars="200" w:firstLine="643"/>
        <w:rPr>
          <w:rFonts w:ascii="仿宋" w:eastAsia="仿宋" w:hAnsi="仿宋"/>
          <w:b/>
          <w:color w:val="000000"/>
          <w:sz w:val="32"/>
          <w:szCs w:val="32"/>
        </w:rPr>
      </w:pPr>
      <w:r>
        <w:rPr>
          <w:rFonts w:ascii="仿宋" w:eastAsia="仿宋" w:hAnsi="仿宋" w:hint="eastAsia"/>
          <w:b/>
          <w:color w:val="000000"/>
          <w:sz w:val="32"/>
          <w:szCs w:val="32"/>
        </w:rPr>
        <w:t>合理用药要点：</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1.对于经一线治疗治疗失败的不可切除或转移性黑色素瘤患者推荐给药方案为2mg/kg，静脉输注30分钟以上，每3周给药一次，直至出现疾病进展或不可接受的毒性。如果患者临床症状稳定，即使有疾病进展的初步证据，但基于总体临床获益的判断，可考虑继续应用本品治疗，直至证实疾病进展。根据个体患者的安全性和耐受性，可能需要暂停给药或停药，不建议增加或减少剂量。</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2.主要不良反应是疲劳、瘙痒、腹泻和皮疹。接受帕博利珠单抗治疗的患者可发生免疫相关性不良反应，包括严重和致死病例。免疫相关性不良反应可同时发生在多个器官系统，需要对于疑似病例进行充分的评估以确定病因或排除其他病因。根据不良反应的严重程度，应暂时停用帕博利珠单抗，并应用糖皮质激素治疗。当免疫相关性不良反应改善至≤1级时，需至少一个月的时间逐步减少糖皮质激素的用量直至停药。倘若发生糖皮质激素无法控制的免疫相关性不良反应时，可以考虑使用其他全身性免疫抑制剂。如果不良反应保持在≤1级，且糖皮质激素剂量已降至≤10mg泼尼松或等效剂量，可在最后一次使用帕博利珠单抗给药后12周内重新开始帕博利珠单抗治疗。对于任何复发性3级免疫相关性不良反应以及任何4级免疫相关性不良反应，应永久停用</w:t>
      </w:r>
      <w:r>
        <w:rPr>
          <w:rFonts w:ascii="仿宋" w:eastAsia="仿宋" w:hAnsi="仿宋" w:hint="eastAsia"/>
          <w:color w:val="000000"/>
          <w:sz w:val="32"/>
          <w:szCs w:val="32"/>
        </w:rPr>
        <w:lastRenderedPageBreak/>
        <w:t>帕博利珠单抗。</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3.出现轻度或中度输液反应的患者在密切监测下可继续接受帕博利珠单抗治疗，可考虑用解热镇痛类抗炎药和抗组胺药预防。对于重度的输液反应，必须停止输液并永久停用帕博利珠单抗。</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4.孕妇在妊娠期使用可能会对胎儿造成伤害，除非孕妇的临床疾病需要，妊娠期不得用药。建议育龄女性在用药期间采用高效避孕方法，并在最后一次用药后四个月内持续避孕。不能排除本品对新生儿的风险，应权衡哺乳对胎儿的获益以及本品治疗对女性患者的获益来决策。</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5.尚未确定18岁以下儿童使用本品的安全性和疗效，在老年人群中不需要进行剂量调整。</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6.在使用该药前避免使用全身性糖皮质激素或免疫抑制剂。</w:t>
      </w:r>
    </w:p>
    <w:p w:rsidR="00B23A40" w:rsidRDefault="00DD1A0D">
      <w:pPr>
        <w:ind w:firstLineChars="200" w:firstLine="640"/>
        <w:rPr>
          <w:rFonts w:ascii="黑体" w:eastAsia="黑体" w:hAnsi="黑体"/>
          <w:color w:val="000000"/>
          <w:sz w:val="32"/>
          <w:szCs w:val="32"/>
        </w:rPr>
      </w:pPr>
      <w:r>
        <w:rPr>
          <w:rFonts w:ascii="黑体" w:eastAsia="黑体" w:hAnsi="黑体" w:hint="eastAsia"/>
          <w:color w:val="000000"/>
          <w:sz w:val="32"/>
          <w:szCs w:val="32"/>
        </w:rPr>
        <w:t>四、特瑞普利单抗 t</w:t>
      </w:r>
      <w:r>
        <w:rPr>
          <w:rFonts w:ascii="黑体" w:eastAsia="黑体" w:hAnsi="黑体"/>
          <w:color w:val="000000"/>
          <w:sz w:val="32"/>
          <w:szCs w:val="32"/>
        </w:rPr>
        <w:t>oripalimab</w:t>
      </w:r>
    </w:p>
    <w:p w:rsidR="00B23A40" w:rsidRDefault="00DD1A0D">
      <w:pPr>
        <w:ind w:firstLineChars="200" w:firstLine="643"/>
        <w:rPr>
          <w:rFonts w:ascii="仿宋" w:eastAsia="仿宋" w:hAnsi="仿宋"/>
          <w:color w:val="000000"/>
          <w:sz w:val="32"/>
          <w:szCs w:val="32"/>
        </w:rPr>
      </w:pPr>
      <w:r>
        <w:rPr>
          <w:rFonts w:ascii="仿宋" w:eastAsia="仿宋" w:hAnsi="仿宋" w:hint="eastAsia"/>
          <w:b/>
          <w:color w:val="000000"/>
          <w:sz w:val="32"/>
          <w:szCs w:val="32"/>
        </w:rPr>
        <w:t>制剂与规格：</w:t>
      </w:r>
      <w:r>
        <w:rPr>
          <w:rFonts w:ascii="仿宋" w:eastAsia="仿宋" w:hAnsi="仿宋" w:hint="eastAsia"/>
          <w:color w:val="000000"/>
          <w:sz w:val="32"/>
          <w:szCs w:val="32"/>
        </w:rPr>
        <w:t>注射液：240mg（6ml）/瓶</w:t>
      </w:r>
    </w:p>
    <w:p w:rsidR="00B23A40" w:rsidRDefault="00DD1A0D">
      <w:pPr>
        <w:ind w:firstLineChars="200" w:firstLine="643"/>
        <w:rPr>
          <w:rFonts w:ascii="仿宋" w:eastAsia="仿宋" w:hAnsi="仿宋"/>
          <w:color w:val="000000"/>
          <w:sz w:val="32"/>
          <w:szCs w:val="32"/>
        </w:rPr>
      </w:pPr>
      <w:r>
        <w:rPr>
          <w:rFonts w:ascii="仿宋" w:eastAsia="仿宋" w:hAnsi="仿宋" w:hint="eastAsia"/>
          <w:b/>
          <w:color w:val="000000"/>
          <w:sz w:val="32"/>
          <w:szCs w:val="32"/>
        </w:rPr>
        <w:t>适应证：</w:t>
      </w:r>
      <w:r>
        <w:rPr>
          <w:rFonts w:ascii="仿宋" w:eastAsia="仿宋" w:hAnsi="仿宋" w:hint="eastAsia"/>
          <w:color w:val="000000"/>
          <w:sz w:val="32"/>
          <w:szCs w:val="32"/>
        </w:rPr>
        <w:t>适用于既往接受全身系统治疗失败的不可切除或转移性黑色素瘤的治疗。</w:t>
      </w:r>
    </w:p>
    <w:p w:rsidR="00B23A40" w:rsidRDefault="00DD1A0D">
      <w:pPr>
        <w:ind w:firstLineChars="200" w:firstLine="643"/>
        <w:rPr>
          <w:rFonts w:ascii="仿宋" w:eastAsia="仿宋" w:hAnsi="仿宋"/>
          <w:b/>
          <w:color w:val="000000"/>
          <w:sz w:val="32"/>
          <w:szCs w:val="32"/>
        </w:rPr>
      </w:pPr>
      <w:r>
        <w:rPr>
          <w:rFonts w:ascii="仿宋" w:eastAsia="仿宋" w:hAnsi="仿宋" w:hint="eastAsia"/>
          <w:b/>
          <w:color w:val="000000"/>
          <w:sz w:val="32"/>
          <w:szCs w:val="32"/>
        </w:rPr>
        <w:t>合理用药要点：</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1.特瑞普利单抗用于治疗晚期黑色素瘤，治疗前无需进行基因检测。</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2.特瑞普利单抗基于CT4研究，获批用于治疗晚期黑色</w:t>
      </w:r>
      <w:r>
        <w:rPr>
          <w:rFonts w:ascii="仿宋" w:eastAsia="仿宋" w:hAnsi="仿宋" w:hint="eastAsia"/>
          <w:color w:val="000000"/>
          <w:sz w:val="32"/>
          <w:szCs w:val="32"/>
        </w:rPr>
        <w:lastRenderedPageBreak/>
        <w:t>素瘤的推荐剂量为3mg/kg，静脉输注每2周一次，直到疾病进展或出现不可耐受的毒性。已观察到接受本品治疗肿瘤的非典型反应（例如，治疗最初几个月内肿瘤出现暂时增大或者出现新的小病灶，随后肿瘤缩小），如果患者临床症状稳定或持续减轻，即使有疾病进展的初步证据，基于总体临床获益的判断，可考虑继续应用本品治疗，直至证实疾病进展。</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3.对于晚期黏膜型黑色素瘤，PD-1单抗单药疗效有限，根据CT13研究，建议采用特瑞普利单抗（3mg/kg，静脉输注每2周一次）联合阿昔替尼（5mg/次，每天2次）的治疗。</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4.来自8项单臂、开放性、单/多中心临床研究，共计598例患者的特瑞普利单抗单药用于治疗晚期黑色素瘤等多种实体瘤的安全性总结数据显示未发现特异性不良反应，大多数不良反应为轻至中度（1～2级），发生率≥10%的不良反应为贫血、ALT升高、乏力、AST升高、皮疹、发热、血促甲状腺激素升高、白细胞计数降低、咳嗽、瘙痒、甲状腺功能减退症、食欲下降、血糖升高和血胆红素升高。</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5.对于疑似免疫相关性不良反应，应进行充分的评估以排除其他病因。大多数免疫相关性不良反应是可逆的，并且可通过中断特瑞普利单抗、糖皮质激素治疗和/或支持治疗来处理。对于大部分3～4级及某些特定的2级免疫相关性不良反应需暂停给药，并给予1～2mg/（kg</w:t>
      </w:r>
      <w:r>
        <w:rPr>
          <w:rFonts w:ascii="宋体" w:hAnsi="宋体" w:cs="宋体" w:hint="eastAsia"/>
          <w:color w:val="000000"/>
          <w:sz w:val="32"/>
          <w:szCs w:val="32"/>
        </w:rPr>
        <w:t>•</w:t>
      </w:r>
      <w:r>
        <w:rPr>
          <w:rFonts w:ascii="仿宋" w:eastAsia="仿宋" w:hAnsi="仿宋" w:hint="eastAsia"/>
          <w:color w:val="000000"/>
          <w:sz w:val="32"/>
          <w:szCs w:val="32"/>
        </w:rPr>
        <w:t>d）强的松等效剂量及其他治疗，直至改善到≤1级。糖皮质激素需至少一</w:t>
      </w:r>
      <w:r>
        <w:rPr>
          <w:rFonts w:ascii="仿宋" w:eastAsia="仿宋" w:hAnsi="仿宋" w:hint="eastAsia"/>
          <w:color w:val="000000"/>
          <w:sz w:val="32"/>
          <w:szCs w:val="32"/>
        </w:rPr>
        <w:lastRenderedPageBreak/>
        <w:t>个月的时间逐渐减量直至停药，快速减量可能引起不良反应恶化或复发。如果不良反应在糖皮质激素治疗后继续恶化或无改善，则应增加非糖皮质激素类别的免疫抑制剂治疗。</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6.对于4级及某些特定的3级免疫相关性不良反应，及任何复发性3级免疫相关性不良反应，末次给药后12周内2～3级免疫相关性不良反应未改善到0～1级（除外内分泌疾病），以及末次给药12周内糖皮质激素未能降至≤10mg/d强的松等效剂量，应永久停药。</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7.禁忌：（1）禁止用于对特瑞普利单抗注射液活性成份或辅料存在超敏反应的患者。（2）不可与其他药品混合或稀释，药瓶中剩余的药物不可重复使用。（3）不得采用静脉推注或单次快速静脉注射给药。</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8.因可能干扰本品药效学活性，应避免在开始本品治疗前使用全身性糖皮质激素及其他免疫抑制剂。但是如果为了治疗免疫相关性不良反应，可在开始本品治疗后使用全身性糖皮质激素及其他免疫抑制剂。</w:t>
      </w:r>
    </w:p>
    <w:p w:rsidR="00B23A40" w:rsidRDefault="00DD1A0D">
      <w:p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 xml:space="preserve">五、依维莫司 </w:t>
      </w:r>
      <w:r>
        <w:rPr>
          <w:rFonts w:ascii="黑体" w:eastAsia="黑体" w:hAnsi="黑体" w:cs="黑体"/>
          <w:sz w:val="32"/>
          <w:szCs w:val="32"/>
        </w:rPr>
        <w:t>everolimus</w:t>
      </w:r>
    </w:p>
    <w:p w:rsidR="00B23A40" w:rsidRDefault="00DD1A0D">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片剂：</w:t>
      </w:r>
      <w:r>
        <w:rPr>
          <w:rFonts w:ascii="仿宋" w:eastAsia="仿宋" w:hAnsi="仿宋" w:hint="eastAsia"/>
          <w:color w:val="000000"/>
          <w:sz w:val="32"/>
          <w:szCs w:val="32"/>
        </w:rPr>
        <w:t>2.5mg、5mg、10mg</w:t>
      </w:r>
    </w:p>
    <w:p w:rsidR="00B23A40" w:rsidRDefault="00DD1A0D">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适应证：</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需要治疗干预但不适于手术切除的结节性硬化症（</w:t>
      </w:r>
      <w:r>
        <w:rPr>
          <w:rFonts w:ascii="仿宋" w:eastAsia="仿宋" w:hAnsi="仿宋" w:cs="仿宋"/>
          <w:sz w:val="32"/>
          <w:szCs w:val="32"/>
        </w:rPr>
        <w:t>TSC</w:t>
      </w:r>
      <w:r>
        <w:rPr>
          <w:rFonts w:ascii="仿宋" w:eastAsia="仿宋" w:hAnsi="仿宋" w:cs="仿宋" w:hint="eastAsia"/>
          <w:sz w:val="32"/>
          <w:szCs w:val="32"/>
        </w:rPr>
        <w:t>）相关的室管膜下巨细胞星形细胞瘤（</w:t>
      </w:r>
      <w:r>
        <w:rPr>
          <w:rFonts w:ascii="仿宋" w:eastAsia="仿宋" w:hAnsi="仿宋" w:cs="仿宋"/>
          <w:sz w:val="32"/>
          <w:szCs w:val="32"/>
        </w:rPr>
        <w:t>SEGA</w:t>
      </w:r>
      <w:r>
        <w:rPr>
          <w:rFonts w:ascii="仿宋" w:eastAsia="仿宋" w:hAnsi="仿宋" w:cs="仿宋" w:hint="eastAsia"/>
          <w:sz w:val="32"/>
          <w:szCs w:val="32"/>
        </w:rPr>
        <w:t>）成人和儿童患者。</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lastRenderedPageBreak/>
        <w:t>2.</w:t>
      </w:r>
      <w:r>
        <w:rPr>
          <w:rFonts w:ascii="仿宋" w:eastAsia="仿宋" w:hAnsi="仿宋" w:cs="仿宋" w:hint="eastAsia"/>
          <w:sz w:val="32"/>
          <w:szCs w:val="32"/>
        </w:rPr>
        <w:t>用于治疗不需立即手术治疗的结节性硬化症相关的肾血管平滑肌脂肪瘤（</w:t>
      </w:r>
      <w:r>
        <w:rPr>
          <w:rFonts w:ascii="仿宋" w:eastAsia="仿宋" w:hAnsi="仿宋" w:cs="仿宋"/>
          <w:sz w:val="32"/>
          <w:szCs w:val="32"/>
        </w:rPr>
        <w:t>TSC-RAML</w:t>
      </w:r>
      <w:r>
        <w:rPr>
          <w:rFonts w:ascii="仿宋" w:eastAsia="仿宋" w:hAnsi="仿宋" w:cs="仿宋" w:hint="eastAsia"/>
          <w:sz w:val="32"/>
          <w:szCs w:val="32"/>
        </w:rPr>
        <w:t>）成人患者。</w:t>
      </w:r>
    </w:p>
    <w:p w:rsidR="00B23A40" w:rsidRDefault="00DD1A0D">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肝功能损伤会使依维莫司暴露量增加，按如下方式进行给药调整：（</w:t>
      </w:r>
      <w:r>
        <w:rPr>
          <w:rFonts w:ascii="仿宋" w:eastAsia="仿宋" w:hAnsi="仿宋" w:cs="仿宋"/>
          <w:sz w:val="32"/>
          <w:szCs w:val="32"/>
        </w:rPr>
        <w:t>1</w:t>
      </w:r>
      <w:r>
        <w:rPr>
          <w:rFonts w:ascii="仿宋" w:eastAsia="仿宋" w:hAnsi="仿宋" w:cs="仿宋" w:hint="eastAsia"/>
          <w:sz w:val="32"/>
          <w:szCs w:val="32"/>
        </w:rPr>
        <w:t>）轻度肝功能损伤（</w:t>
      </w:r>
      <w:r>
        <w:rPr>
          <w:rFonts w:ascii="仿宋" w:eastAsia="仿宋" w:hAnsi="仿宋" w:cs="仿宋"/>
          <w:sz w:val="32"/>
          <w:szCs w:val="32"/>
        </w:rPr>
        <w:t>Child-Pugh A</w:t>
      </w:r>
      <w:r>
        <w:rPr>
          <w:rFonts w:ascii="仿宋" w:eastAsia="仿宋" w:hAnsi="仿宋" w:cs="仿宋" w:hint="eastAsia"/>
          <w:sz w:val="32"/>
          <w:szCs w:val="32"/>
        </w:rPr>
        <w:t>级）：推荐剂量为每天</w:t>
      </w:r>
      <w:r>
        <w:rPr>
          <w:rFonts w:ascii="仿宋" w:eastAsia="仿宋" w:hAnsi="仿宋" w:cs="仿宋"/>
          <w:sz w:val="32"/>
          <w:szCs w:val="32"/>
        </w:rPr>
        <w:t>7.5mg</w:t>
      </w:r>
      <w:r>
        <w:rPr>
          <w:rFonts w:ascii="仿宋" w:eastAsia="仿宋" w:hAnsi="仿宋" w:cs="仿宋" w:hint="eastAsia"/>
          <w:sz w:val="32"/>
          <w:szCs w:val="32"/>
        </w:rPr>
        <w:t>；如果不能很好地耐受，可将剂量降至每天</w:t>
      </w:r>
      <w:r>
        <w:rPr>
          <w:rFonts w:ascii="仿宋" w:eastAsia="仿宋" w:hAnsi="仿宋" w:cs="仿宋"/>
          <w:sz w:val="32"/>
          <w:szCs w:val="32"/>
        </w:rPr>
        <w:t>5mg</w:t>
      </w: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）中度肝功能损伤（</w:t>
      </w:r>
      <w:r>
        <w:rPr>
          <w:rFonts w:ascii="仿宋" w:eastAsia="仿宋" w:hAnsi="仿宋" w:cs="仿宋"/>
          <w:sz w:val="32"/>
          <w:szCs w:val="32"/>
        </w:rPr>
        <w:t>Child-Pugh B</w:t>
      </w:r>
      <w:r>
        <w:rPr>
          <w:rFonts w:ascii="仿宋" w:eastAsia="仿宋" w:hAnsi="仿宋" w:cs="仿宋" w:hint="eastAsia"/>
          <w:sz w:val="32"/>
          <w:szCs w:val="32"/>
        </w:rPr>
        <w:t>级）：推荐剂量是每天</w:t>
      </w:r>
      <w:r>
        <w:rPr>
          <w:rFonts w:ascii="仿宋" w:eastAsia="仿宋" w:hAnsi="仿宋" w:cs="仿宋"/>
          <w:sz w:val="32"/>
          <w:szCs w:val="32"/>
        </w:rPr>
        <w:t>5mg</w:t>
      </w:r>
      <w:r>
        <w:rPr>
          <w:rFonts w:ascii="仿宋" w:eastAsia="仿宋" w:hAnsi="仿宋" w:cs="仿宋" w:hint="eastAsia"/>
          <w:sz w:val="32"/>
          <w:szCs w:val="32"/>
        </w:rPr>
        <w:t>；如果不能很好地耐受，可将剂量降至每天</w:t>
      </w:r>
      <w:r>
        <w:rPr>
          <w:rFonts w:ascii="仿宋" w:eastAsia="仿宋" w:hAnsi="仿宋" w:cs="仿宋"/>
          <w:sz w:val="32"/>
          <w:szCs w:val="32"/>
        </w:rPr>
        <w:t>2.5mg</w:t>
      </w: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）重度肝功能损伤（</w:t>
      </w:r>
      <w:r>
        <w:rPr>
          <w:rFonts w:ascii="仿宋" w:eastAsia="仿宋" w:hAnsi="仿宋" w:cs="仿宋"/>
          <w:sz w:val="32"/>
          <w:szCs w:val="32"/>
        </w:rPr>
        <w:t>Child-Pugh C</w:t>
      </w:r>
      <w:r>
        <w:rPr>
          <w:rFonts w:ascii="仿宋" w:eastAsia="仿宋" w:hAnsi="仿宋" w:cs="仿宋" w:hint="eastAsia"/>
          <w:sz w:val="32"/>
          <w:szCs w:val="32"/>
        </w:rPr>
        <w:t>级）：如果预期的获益高于风险，可以采用每天</w:t>
      </w:r>
      <w:r>
        <w:rPr>
          <w:rFonts w:ascii="仿宋" w:eastAsia="仿宋" w:hAnsi="仿宋" w:cs="仿宋"/>
          <w:sz w:val="32"/>
          <w:szCs w:val="32"/>
        </w:rPr>
        <w:t>2.5mg</w:t>
      </w:r>
      <w:r>
        <w:rPr>
          <w:rFonts w:ascii="仿宋" w:eastAsia="仿宋" w:hAnsi="仿宋" w:cs="仿宋" w:hint="eastAsia"/>
          <w:sz w:val="32"/>
          <w:szCs w:val="32"/>
        </w:rPr>
        <w:t>，但不得超过这一剂量。</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用药期间必须注意常见的口腔炎等；应特别注意间质性肺炎的发生，可能会发生肌酐、血糖和血脂异常，注意用药期间复查。</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避免合并使用强效</w:t>
      </w:r>
      <w:r>
        <w:rPr>
          <w:rFonts w:ascii="仿宋" w:eastAsia="仿宋" w:hAnsi="仿宋" w:cs="仿宋"/>
          <w:sz w:val="32"/>
          <w:szCs w:val="32"/>
        </w:rPr>
        <w:t>CYP3A4</w:t>
      </w:r>
      <w:r>
        <w:rPr>
          <w:rFonts w:ascii="仿宋" w:eastAsia="仿宋" w:hAnsi="仿宋" w:cs="仿宋" w:hint="eastAsia"/>
          <w:sz w:val="32"/>
          <w:szCs w:val="32"/>
        </w:rPr>
        <w:t>诱导剂，确需合用的，需增加剂量，最大剂量每天</w:t>
      </w:r>
      <w:r>
        <w:rPr>
          <w:rFonts w:ascii="仿宋" w:eastAsia="仿宋" w:hAnsi="仿宋" w:cs="仿宋"/>
          <w:sz w:val="32"/>
          <w:szCs w:val="32"/>
        </w:rPr>
        <w:t>20mg</w:t>
      </w:r>
      <w:r>
        <w:rPr>
          <w:rFonts w:ascii="仿宋" w:eastAsia="仿宋" w:hAnsi="仿宋" w:cs="仿宋" w:hint="eastAsia"/>
          <w:sz w:val="32"/>
          <w:szCs w:val="32"/>
        </w:rPr>
        <w:t>。如需使用</w:t>
      </w:r>
      <w:r>
        <w:rPr>
          <w:rFonts w:ascii="仿宋" w:eastAsia="仿宋" w:hAnsi="仿宋" w:cs="仿宋"/>
          <w:sz w:val="32"/>
          <w:szCs w:val="32"/>
        </w:rPr>
        <w:t>CYP3A4</w:t>
      </w:r>
      <w:r>
        <w:rPr>
          <w:rFonts w:ascii="仿宋" w:eastAsia="仿宋" w:hAnsi="仿宋" w:cs="仿宋" w:hint="eastAsia"/>
          <w:sz w:val="32"/>
          <w:szCs w:val="32"/>
        </w:rPr>
        <w:t>中度抑制剂或</w:t>
      </w:r>
      <w:r>
        <w:rPr>
          <w:rFonts w:ascii="仿宋" w:eastAsia="仿宋" w:hAnsi="仿宋" w:cs="仿宋"/>
          <w:sz w:val="32"/>
          <w:szCs w:val="32"/>
        </w:rPr>
        <w:t>P-</w:t>
      </w:r>
      <w:r>
        <w:rPr>
          <w:rFonts w:ascii="仿宋" w:eastAsia="仿宋" w:hAnsi="仿宋" w:cs="仿宋" w:hint="eastAsia"/>
          <w:sz w:val="32"/>
          <w:szCs w:val="32"/>
        </w:rPr>
        <w:t>糖蛋白抑制剂，减量至每天</w:t>
      </w:r>
      <w:r>
        <w:rPr>
          <w:rFonts w:ascii="仿宋" w:eastAsia="仿宋" w:hAnsi="仿宋" w:cs="仿宋"/>
          <w:sz w:val="32"/>
          <w:szCs w:val="32"/>
        </w:rPr>
        <w:t>2.5mg</w:t>
      </w:r>
      <w:r>
        <w:rPr>
          <w:rFonts w:ascii="仿宋" w:eastAsia="仿宋" w:hAnsi="仿宋" w:cs="仿宋" w:hint="eastAsia"/>
          <w:sz w:val="32"/>
          <w:szCs w:val="32"/>
        </w:rPr>
        <w:t>，如果耐受可增加至剂量每天</w:t>
      </w:r>
      <w:r>
        <w:rPr>
          <w:rFonts w:ascii="仿宋" w:eastAsia="仿宋" w:hAnsi="仿宋" w:cs="仿宋"/>
          <w:sz w:val="32"/>
          <w:szCs w:val="32"/>
        </w:rPr>
        <w:t>5mg</w:t>
      </w:r>
      <w:r>
        <w:rPr>
          <w:rFonts w:ascii="仿宋" w:eastAsia="仿宋" w:hAnsi="仿宋" w:cs="仿宋" w:hint="eastAsia"/>
          <w:sz w:val="32"/>
          <w:szCs w:val="32"/>
        </w:rPr>
        <w:t>。</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在本品治疗期间应避免接种活疫苗，避免与接种过活疫苗的人密切接触。</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5．妊娠妇女服用时可能对胎儿产生危害，应充分告知。</w:t>
      </w:r>
    </w:p>
    <w:p w:rsidR="00B23A40" w:rsidRDefault="00B23A40">
      <w:pPr>
        <w:spacing w:line="360" w:lineRule="auto"/>
        <w:ind w:firstLineChars="200" w:firstLine="883"/>
        <w:jc w:val="center"/>
        <w:rPr>
          <w:rFonts w:ascii="宋体" w:hAnsi="宋体" w:cs="宋体"/>
          <w:b/>
          <w:bCs/>
          <w:sz w:val="44"/>
          <w:szCs w:val="44"/>
        </w:rPr>
      </w:pPr>
    </w:p>
    <w:p w:rsidR="00B23A40" w:rsidRDefault="00DD1A0D">
      <w:pPr>
        <w:spacing w:line="360" w:lineRule="auto"/>
        <w:ind w:firstLineChars="200" w:firstLine="883"/>
        <w:jc w:val="center"/>
        <w:rPr>
          <w:rFonts w:ascii="宋体" w:cs="Times New Roman"/>
          <w:b/>
          <w:bCs/>
          <w:sz w:val="44"/>
          <w:szCs w:val="44"/>
        </w:rPr>
      </w:pPr>
      <w:r>
        <w:rPr>
          <w:rFonts w:ascii="宋体" w:hAnsi="宋体" w:cs="宋体" w:hint="eastAsia"/>
          <w:b/>
          <w:bCs/>
          <w:sz w:val="44"/>
          <w:szCs w:val="44"/>
        </w:rPr>
        <w:lastRenderedPageBreak/>
        <w:t>头颈部肿瘤用药</w:t>
      </w:r>
    </w:p>
    <w:p w:rsidR="00B23A40" w:rsidRDefault="00B23A40">
      <w:pPr>
        <w:spacing w:line="360" w:lineRule="auto"/>
        <w:ind w:firstLineChars="200" w:firstLine="643"/>
        <w:jc w:val="center"/>
        <w:rPr>
          <w:rFonts w:ascii="仿宋" w:eastAsia="仿宋" w:hAnsi="仿宋" w:cs="Times New Roman"/>
          <w:b/>
          <w:bCs/>
          <w:sz w:val="32"/>
          <w:szCs w:val="32"/>
        </w:rPr>
      </w:pPr>
    </w:p>
    <w:p w:rsidR="00B23A40" w:rsidRDefault="00DD1A0D">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一、尼妥珠单抗</w:t>
      </w:r>
      <w:r>
        <w:rPr>
          <w:rFonts w:ascii="黑体" w:eastAsia="黑体" w:hAnsi="黑体" w:cs="黑体"/>
          <w:sz w:val="32"/>
          <w:szCs w:val="32"/>
        </w:rPr>
        <w:t xml:space="preserve"> nimotuzumab </w:t>
      </w:r>
    </w:p>
    <w:p w:rsidR="00B23A40" w:rsidRDefault="00DD1A0D">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注射液：</w:t>
      </w:r>
      <w:r>
        <w:rPr>
          <w:rFonts w:ascii="仿宋" w:eastAsia="仿宋" w:hAnsi="仿宋" w:cs="仿宋"/>
          <w:sz w:val="32"/>
          <w:szCs w:val="32"/>
        </w:rPr>
        <w:t>50mg</w:t>
      </w:r>
      <w:r>
        <w:rPr>
          <w:rFonts w:ascii="仿宋" w:eastAsia="仿宋" w:hAnsi="仿宋" w:cs="仿宋" w:hint="eastAsia"/>
          <w:sz w:val="32"/>
          <w:szCs w:val="32"/>
        </w:rPr>
        <w:t>（</w:t>
      </w:r>
      <w:r>
        <w:rPr>
          <w:rFonts w:ascii="仿宋" w:eastAsia="仿宋" w:hAnsi="仿宋" w:cs="仿宋"/>
          <w:sz w:val="32"/>
          <w:szCs w:val="32"/>
        </w:rPr>
        <w:t>10ml</w:t>
      </w:r>
      <w:r>
        <w:rPr>
          <w:rFonts w:ascii="仿宋" w:eastAsia="仿宋" w:hAnsi="仿宋" w:cs="仿宋" w:hint="eastAsia"/>
          <w:sz w:val="32"/>
          <w:szCs w:val="32"/>
        </w:rPr>
        <w:t>）</w:t>
      </w:r>
      <w:r>
        <w:rPr>
          <w:rFonts w:ascii="仿宋" w:eastAsia="仿宋" w:hAnsi="仿宋" w:cs="仿宋"/>
          <w:sz w:val="32"/>
          <w:szCs w:val="32"/>
        </w:rPr>
        <w:t>/</w:t>
      </w:r>
      <w:r>
        <w:rPr>
          <w:rFonts w:ascii="仿宋" w:eastAsia="仿宋" w:hAnsi="仿宋" w:cs="仿宋" w:hint="eastAsia"/>
          <w:sz w:val="32"/>
          <w:szCs w:val="32"/>
        </w:rPr>
        <w:t>瓶</w:t>
      </w:r>
    </w:p>
    <w:p w:rsidR="00B23A40" w:rsidRDefault="00DD1A0D">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适应证：</w:t>
      </w:r>
      <w:r>
        <w:rPr>
          <w:rFonts w:ascii="仿宋" w:eastAsia="仿宋" w:hAnsi="仿宋" w:cs="仿宋" w:hint="eastAsia"/>
          <w:sz w:val="32"/>
          <w:szCs w:val="32"/>
        </w:rPr>
        <w:t>与放疗联合治疗</w:t>
      </w:r>
      <w:r>
        <w:rPr>
          <w:rFonts w:ascii="仿宋" w:eastAsia="仿宋" w:hAnsi="仿宋" w:cs="仿宋"/>
          <w:sz w:val="32"/>
          <w:szCs w:val="32"/>
        </w:rPr>
        <w:t>EGFR</w:t>
      </w:r>
      <w:r>
        <w:rPr>
          <w:rFonts w:ascii="仿宋" w:eastAsia="仿宋" w:hAnsi="仿宋" w:cs="仿宋" w:hint="eastAsia"/>
          <w:sz w:val="32"/>
          <w:szCs w:val="32"/>
        </w:rPr>
        <w:t>基因阳性表达的Ⅲ～Ⅳ期鼻咽癌。</w:t>
      </w:r>
    </w:p>
    <w:p w:rsidR="00B23A40" w:rsidRDefault="00DD1A0D">
      <w:pPr>
        <w:widowControl/>
        <w:spacing w:line="360" w:lineRule="auto"/>
        <w:ind w:firstLineChars="200" w:firstLine="643"/>
        <w:jc w:val="left"/>
        <w:rPr>
          <w:rFonts w:ascii="仿宋" w:eastAsia="仿宋" w:hAnsi="仿宋" w:cs="Times New Roman"/>
          <w:b/>
          <w:bCs/>
          <w:kern w:val="0"/>
          <w:sz w:val="32"/>
          <w:szCs w:val="32"/>
        </w:rPr>
      </w:pPr>
      <w:r>
        <w:rPr>
          <w:rFonts w:ascii="仿宋" w:eastAsia="仿宋" w:hAnsi="仿宋" w:cs="仿宋" w:hint="eastAsia"/>
          <w:b/>
          <w:bCs/>
          <w:kern w:val="0"/>
          <w:sz w:val="32"/>
          <w:szCs w:val="32"/>
        </w:rPr>
        <w:t>合理用药要点：</w:t>
      </w:r>
    </w:p>
    <w:p w:rsidR="00B23A40" w:rsidRDefault="00DD1A0D">
      <w:pPr>
        <w:widowControl/>
        <w:spacing w:line="360" w:lineRule="auto"/>
        <w:ind w:firstLineChars="200" w:firstLine="640"/>
        <w:jc w:val="left"/>
        <w:rPr>
          <w:rFonts w:ascii="仿宋" w:eastAsia="仿宋" w:hAnsi="仿宋" w:cs="Times New Roman"/>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尼妥珠单抗冻融后抗体大部分活性将丧失，故在储存过程中严禁冷冻。</w:t>
      </w:r>
    </w:p>
    <w:p w:rsidR="00B23A40" w:rsidRDefault="00DD1A0D">
      <w:pPr>
        <w:widowControl/>
        <w:spacing w:line="360" w:lineRule="auto"/>
        <w:ind w:firstLineChars="200" w:firstLine="640"/>
        <w:jc w:val="left"/>
        <w:rPr>
          <w:rFonts w:ascii="仿宋" w:eastAsia="仿宋" w:hAnsi="仿宋" w:cs="Times New Roman"/>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尼妥珠单抗配制的溶液在输液容器中</w:t>
      </w:r>
      <w:r>
        <w:rPr>
          <w:rFonts w:ascii="仿宋" w:eastAsia="仿宋" w:hAnsi="仿宋" w:cs="仿宋"/>
          <w:kern w:val="0"/>
          <w:sz w:val="32"/>
          <w:szCs w:val="32"/>
        </w:rPr>
        <w:t>2</w:t>
      </w:r>
      <w:r>
        <w:rPr>
          <w:rFonts w:ascii="仿宋" w:eastAsia="仿宋" w:hAnsi="仿宋" w:cs="仿宋" w:hint="eastAsia"/>
          <w:kern w:val="0"/>
          <w:sz w:val="32"/>
          <w:szCs w:val="32"/>
        </w:rPr>
        <w:t>～</w:t>
      </w:r>
      <w:r>
        <w:rPr>
          <w:rFonts w:ascii="仿宋" w:eastAsia="仿宋" w:hAnsi="仿宋" w:cs="仿宋"/>
          <w:kern w:val="0"/>
          <w:sz w:val="32"/>
          <w:szCs w:val="32"/>
        </w:rPr>
        <w:t>8</w:t>
      </w:r>
      <w:r>
        <w:rPr>
          <w:rFonts w:ascii="仿宋" w:eastAsia="仿宋" w:hAnsi="仿宋" w:cs="仿宋" w:hint="eastAsia"/>
          <w:kern w:val="0"/>
          <w:sz w:val="32"/>
          <w:szCs w:val="32"/>
        </w:rPr>
        <w:t>℃时，其物理和化学稳定性可保持</w:t>
      </w:r>
      <w:r>
        <w:rPr>
          <w:rFonts w:ascii="仿宋" w:eastAsia="仿宋" w:hAnsi="仿宋" w:cs="仿宋"/>
          <w:kern w:val="0"/>
          <w:sz w:val="32"/>
          <w:szCs w:val="32"/>
        </w:rPr>
        <w:t>12</w:t>
      </w:r>
      <w:r>
        <w:rPr>
          <w:rFonts w:ascii="仿宋" w:eastAsia="仿宋" w:hAnsi="仿宋" w:cs="仿宋" w:hint="eastAsia"/>
          <w:kern w:val="0"/>
          <w:sz w:val="32"/>
          <w:szCs w:val="32"/>
        </w:rPr>
        <w:t>小时，在室温下可保持</w:t>
      </w:r>
      <w:r>
        <w:rPr>
          <w:rFonts w:ascii="仿宋" w:eastAsia="仿宋" w:hAnsi="仿宋" w:cs="仿宋"/>
          <w:kern w:val="0"/>
          <w:sz w:val="32"/>
          <w:szCs w:val="32"/>
        </w:rPr>
        <w:t>8</w:t>
      </w:r>
      <w:r>
        <w:rPr>
          <w:rFonts w:ascii="仿宋" w:eastAsia="仿宋" w:hAnsi="仿宋" w:cs="仿宋" w:hint="eastAsia"/>
          <w:kern w:val="0"/>
          <w:sz w:val="32"/>
          <w:szCs w:val="32"/>
        </w:rPr>
        <w:t>小时。储存时间超过上述时间，不宜继续使用。</w:t>
      </w:r>
    </w:p>
    <w:p w:rsidR="00B23A40" w:rsidRDefault="00DD1A0D">
      <w:pPr>
        <w:widowControl/>
        <w:spacing w:line="360" w:lineRule="auto"/>
        <w:ind w:firstLineChars="200" w:firstLine="640"/>
        <w:jc w:val="left"/>
        <w:rPr>
          <w:rFonts w:ascii="仿宋" w:eastAsia="仿宋" w:hAnsi="仿宋" w:cs="Times New Roman"/>
          <w:kern w:val="0"/>
          <w:sz w:val="32"/>
          <w:szCs w:val="32"/>
        </w:rPr>
      </w:pPr>
      <w:r>
        <w:rPr>
          <w:rFonts w:ascii="仿宋" w:eastAsia="仿宋" w:hAnsi="仿宋" w:cs="仿宋"/>
          <w:kern w:val="0"/>
          <w:sz w:val="32"/>
          <w:szCs w:val="32"/>
        </w:rPr>
        <w:t>3.</w:t>
      </w:r>
      <w:r>
        <w:rPr>
          <w:rFonts w:ascii="仿宋" w:eastAsia="仿宋" w:hAnsi="仿宋" w:cs="仿宋" w:hint="eastAsia"/>
          <w:kern w:val="0"/>
          <w:sz w:val="32"/>
          <w:szCs w:val="32"/>
        </w:rPr>
        <w:t>尼妥珠单抗与放疗联合适用于治疗</w:t>
      </w:r>
      <w:r>
        <w:rPr>
          <w:rFonts w:ascii="仿宋" w:eastAsia="仿宋" w:hAnsi="仿宋" w:cs="仿宋"/>
          <w:kern w:val="0"/>
          <w:sz w:val="32"/>
          <w:szCs w:val="32"/>
        </w:rPr>
        <w:t>EGFR</w:t>
      </w:r>
      <w:r>
        <w:rPr>
          <w:rFonts w:ascii="仿宋" w:eastAsia="仿宋" w:hAnsi="仿宋" w:cs="仿宋" w:hint="eastAsia"/>
          <w:kern w:val="0"/>
          <w:sz w:val="32"/>
          <w:szCs w:val="32"/>
        </w:rPr>
        <w:t>基因阳性表达的Ⅲ～Ⅳ期鼻咽癌。</w:t>
      </w:r>
    </w:p>
    <w:p w:rsidR="00B23A40" w:rsidRDefault="00DD1A0D">
      <w:pPr>
        <w:widowControl/>
        <w:spacing w:line="360" w:lineRule="auto"/>
        <w:ind w:firstLineChars="200" w:firstLine="640"/>
        <w:jc w:val="left"/>
        <w:rPr>
          <w:rFonts w:ascii="仿宋" w:eastAsia="仿宋" w:hAnsi="仿宋" w:cs="Times New Roman"/>
          <w:kern w:val="0"/>
          <w:sz w:val="32"/>
          <w:szCs w:val="32"/>
        </w:rPr>
      </w:pPr>
      <w:r>
        <w:rPr>
          <w:rFonts w:ascii="仿宋" w:eastAsia="仿宋" w:hAnsi="仿宋" w:cs="仿宋"/>
          <w:kern w:val="0"/>
          <w:sz w:val="32"/>
          <w:szCs w:val="32"/>
        </w:rPr>
        <w:t>4.</w:t>
      </w:r>
      <w:r>
        <w:rPr>
          <w:rFonts w:ascii="仿宋" w:eastAsia="仿宋" w:hAnsi="仿宋" w:cs="仿宋" w:hint="eastAsia"/>
          <w:kern w:val="0"/>
          <w:sz w:val="32"/>
          <w:szCs w:val="32"/>
        </w:rPr>
        <w:t>使用尼妥珠单抗前，建议先确认肿瘤组织的</w:t>
      </w:r>
      <w:r>
        <w:rPr>
          <w:rFonts w:ascii="仿宋" w:eastAsia="仿宋" w:hAnsi="仿宋" w:cs="仿宋"/>
          <w:kern w:val="0"/>
          <w:sz w:val="32"/>
          <w:szCs w:val="32"/>
        </w:rPr>
        <w:t>EGFR</w:t>
      </w:r>
      <w:r>
        <w:rPr>
          <w:rFonts w:ascii="仿宋" w:eastAsia="仿宋" w:hAnsi="仿宋" w:cs="仿宋" w:hint="eastAsia"/>
          <w:kern w:val="0"/>
          <w:sz w:val="32"/>
          <w:szCs w:val="32"/>
        </w:rPr>
        <w:t>基因表达水平，针对</w:t>
      </w:r>
      <w:r>
        <w:rPr>
          <w:rFonts w:ascii="仿宋" w:eastAsia="仿宋" w:hAnsi="仿宋" w:cs="仿宋"/>
          <w:kern w:val="0"/>
          <w:sz w:val="32"/>
          <w:szCs w:val="32"/>
        </w:rPr>
        <w:t>EGFR</w:t>
      </w:r>
      <w:r>
        <w:rPr>
          <w:rFonts w:ascii="仿宋" w:eastAsia="仿宋" w:hAnsi="仿宋" w:cs="仿宋" w:hint="eastAsia"/>
          <w:kern w:val="0"/>
          <w:sz w:val="32"/>
          <w:szCs w:val="32"/>
        </w:rPr>
        <w:t>基因中、高表达的患者推荐使用本品。</w:t>
      </w:r>
    </w:p>
    <w:p w:rsidR="00B23A40" w:rsidRDefault="00DD1A0D">
      <w:pPr>
        <w:widowControl/>
        <w:spacing w:line="360" w:lineRule="auto"/>
        <w:ind w:firstLineChars="200" w:firstLine="640"/>
        <w:jc w:val="left"/>
        <w:rPr>
          <w:rFonts w:ascii="仿宋" w:eastAsia="仿宋" w:hAnsi="仿宋" w:cs="Times New Roman"/>
          <w:kern w:val="0"/>
          <w:sz w:val="32"/>
          <w:szCs w:val="32"/>
        </w:rPr>
      </w:pPr>
      <w:r>
        <w:rPr>
          <w:rFonts w:ascii="仿宋" w:eastAsia="仿宋" w:hAnsi="仿宋" w:cs="仿宋"/>
          <w:kern w:val="0"/>
          <w:sz w:val="32"/>
          <w:szCs w:val="32"/>
        </w:rPr>
        <w:t>5.</w:t>
      </w:r>
      <w:r>
        <w:rPr>
          <w:rFonts w:ascii="仿宋" w:eastAsia="仿宋" w:hAnsi="仿宋" w:cs="仿宋" w:hint="eastAsia"/>
          <w:kern w:val="0"/>
          <w:sz w:val="32"/>
          <w:szCs w:val="32"/>
        </w:rPr>
        <w:t>免疫组化法检验</w:t>
      </w:r>
      <w:r>
        <w:rPr>
          <w:rFonts w:ascii="仿宋" w:eastAsia="仿宋" w:hAnsi="仿宋" w:cs="仿宋"/>
          <w:kern w:val="0"/>
          <w:sz w:val="32"/>
          <w:szCs w:val="32"/>
        </w:rPr>
        <w:t>EGFR</w:t>
      </w:r>
      <w:r>
        <w:rPr>
          <w:rFonts w:ascii="仿宋" w:eastAsia="仿宋" w:hAnsi="仿宋" w:cs="仿宋" w:hint="eastAsia"/>
          <w:kern w:val="0"/>
          <w:sz w:val="32"/>
          <w:szCs w:val="32"/>
        </w:rPr>
        <w:t>基因表达，操作应由熟练掌握</w:t>
      </w:r>
      <w:r>
        <w:rPr>
          <w:rFonts w:ascii="仿宋" w:eastAsia="仿宋" w:hAnsi="仿宋" w:cs="仿宋"/>
          <w:kern w:val="0"/>
          <w:sz w:val="32"/>
          <w:szCs w:val="32"/>
        </w:rPr>
        <w:t>EGFR</w:t>
      </w:r>
      <w:r>
        <w:rPr>
          <w:rFonts w:ascii="仿宋" w:eastAsia="仿宋" w:hAnsi="仿宋" w:cs="仿宋" w:hint="eastAsia"/>
          <w:kern w:val="0"/>
          <w:sz w:val="32"/>
          <w:szCs w:val="32"/>
        </w:rPr>
        <w:t>基因检测试剂盒检测技术的实验室完成。检验中的某些失误，如组织样本质量较差、操作不规范、对照使用不当等均可影响结果。</w:t>
      </w:r>
    </w:p>
    <w:p w:rsidR="00B23A40" w:rsidRDefault="00DD1A0D">
      <w:pPr>
        <w:widowControl/>
        <w:spacing w:line="360" w:lineRule="auto"/>
        <w:ind w:firstLineChars="200" w:firstLine="640"/>
        <w:jc w:val="left"/>
        <w:rPr>
          <w:rFonts w:ascii="仿宋" w:eastAsia="仿宋" w:hAnsi="仿宋" w:cs="Times New Roman"/>
          <w:kern w:val="0"/>
          <w:sz w:val="32"/>
          <w:szCs w:val="32"/>
        </w:rPr>
      </w:pPr>
      <w:r>
        <w:rPr>
          <w:rFonts w:ascii="仿宋" w:eastAsia="仿宋" w:hAnsi="仿宋" w:cs="仿宋"/>
          <w:kern w:val="0"/>
          <w:sz w:val="32"/>
          <w:szCs w:val="32"/>
        </w:rPr>
        <w:lastRenderedPageBreak/>
        <w:t>6.</w:t>
      </w:r>
      <w:r>
        <w:rPr>
          <w:rFonts w:ascii="仿宋" w:eastAsia="仿宋" w:hAnsi="仿宋" w:cs="仿宋" w:hint="eastAsia"/>
          <w:kern w:val="0"/>
          <w:sz w:val="32"/>
          <w:szCs w:val="32"/>
        </w:rPr>
        <w:t>治疗期间因毒性不可耐受时可在同一代药物之间替换，因疾病进展不能在同一代药物之间替换。</w:t>
      </w:r>
    </w:p>
    <w:p w:rsidR="00B23A40" w:rsidRDefault="00DD1A0D">
      <w:pPr>
        <w:widowControl/>
        <w:spacing w:line="360" w:lineRule="auto"/>
        <w:ind w:firstLineChars="200" w:firstLine="640"/>
        <w:jc w:val="left"/>
        <w:rPr>
          <w:rFonts w:ascii="仿宋" w:eastAsia="仿宋" w:hAnsi="仿宋" w:cs="Times New Roman"/>
          <w:kern w:val="0"/>
          <w:sz w:val="32"/>
          <w:szCs w:val="32"/>
        </w:rPr>
      </w:pPr>
      <w:r>
        <w:rPr>
          <w:rFonts w:ascii="仿宋" w:eastAsia="仿宋" w:hAnsi="仿宋" w:cs="仿宋"/>
          <w:kern w:val="0"/>
          <w:sz w:val="32"/>
          <w:szCs w:val="32"/>
        </w:rPr>
        <w:t>7.</w:t>
      </w:r>
      <w:r>
        <w:rPr>
          <w:rFonts w:ascii="仿宋" w:eastAsia="仿宋" w:hAnsi="仿宋" w:cs="仿宋" w:hint="eastAsia"/>
          <w:kern w:val="0"/>
          <w:sz w:val="32"/>
          <w:szCs w:val="32"/>
        </w:rPr>
        <w:t>首次给药应在放射治疗的第一天，并在放射治疗开始前完成。之后每周给药一次，共</w:t>
      </w:r>
      <w:r>
        <w:rPr>
          <w:rFonts w:ascii="仿宋" w:eastAsia="仿宋" w:hAnsi="仿宋" w:cs="仿宋"/>
          <w:kern w:val="0"/>
          <w:sz w:val="32"/>
          <w:szCs w:val="32"/>
        </w:rPr>
        <w:t>8</w:t>
      </w:r>
      <w:r>
        <w:rPr>
          <w:rFonts w:ascii="仿宋" w:eastAsia="仿宋" w:hAnsi="仿宋" w:cs="仿宋" w:hint="eastAsia"/>
          <w:kern w:val="0"/>
          <w:sz w:val="32"/>
          <w:szCs w:val="32"/>
        </w:rPr>
        <w:t>周，患者同时接受标准的放射治疗。</w:t>
      </w:r>
    </w:p>
    <w:p w:rsidR="00B23A40" w:rsidRDefault="00DD1A0D">
      <w:pPr>
        <w:widowControl/>
        <w:spacing w:line="360" w:lineRule="auto"/>
        <w:ind w:firstLineChars="200" w:firstLine="640"/>
        <w:jc w:val="left"/>
        <w:rPr>
          <w:rFonts w:ascii="仿宋" w:eastAsia="仿宋" w:hAnsi="仿宋" w:cs="Times New Roman"/>
          <w:kern w:val="0"/>
          <w:sz w:val="32"/>
          <w:szCs w:val="32"/>
        </w:rPr>
      </w:pPr>
      <w:r>
        <w:rPr>
          <w:rFonts w:ascii="仿宋" w:eastAsia="仿宋" w:hAnsi="仿宋" w:cs="仿宋"/>
          <w:kern w:val="0"/>
          <w:sz w:val="32"/>
          <w:szCs w:val="32"/>
        </w:rPr>
        <w:t>8.</w:t>
      </w:r>
      <w:r>
        <w:rPr>
          <w:rFonts w:ascii="仿宋" w:eastAsia="仿宋" w:hAnsi="仿宋" w:cs="仿宋" w:hint="eastAsia"/>
          <w:kern w:val="0"/>
          <w:sz w:val="32"/>
          <w:szCs w:val="32"/>
        </w:rPr>
        <w:t>用药期间必须注意常见的皮肤反应和腹泻。</w:t>
      </w:r>
    </w:p>
    <w:p w:rsidR="00B23A40" w:rsidRDefault="00DD1A0D">
      <w:pPr>
        <w:widowControl/>
        <w:spacing w:line="360" w:lineRule="auto"/>
        <w:ind w:firstLineChars="200" w:firstLine="640"/>
        <w:jc w:val="left"/>
        <w:rPr>
          <w:rFonts w:ascii="仿宋" w:eastAsia="仿宋" w:hAnsi="仿宋" w:cs="Times New Roman"/>
          <w:kern w:val="0"/>
          <w:sz w:val="32"/>
          <w:szCs w:val="32"/>
        </w:rPr>
      </w:pPr>
      <w:r>
        <w:rPr>
          <w:rFonts w:ascii="仿宋" w:eastAsia="仿宋" w:hAnsi="仿宋" w:cs="仿宋"/>
          <w:kern w:val="0"/>
          <w:sz w:val="32"/>
          <w:szCs w:val="32"/>
        </w:rPr>
        <w:t>9.</w:t>
      </w:r>
      <w:r>
        <w:rPr>
          <w:rFonts w:ascii="仿宋" w:eastAsia="仿宋" w:hAnsi="仿宋" w:cs="仿宋" w:hint="eastAsia"/>
          <w:kern w:val="0"/>
          <w:sz w:val="32"/>
          <w:szCs w:val="32"/>
        </w:rPr>
        <w:t>尚未确定</w:t>
      </w:r>
      <w:r>
        <w:rPr>
          <w:rFonts w:ascii="仿宋" w:eastAsia="仿宋" w:hAnsi="仿宋" w:cs="仿宋"/>
          <w:kern w:val="0"/>
          <w:sz w:val="32"/>
          <w:szCs w:val="32"/>
        </w:rPr>
        <w:t>18</w:t>
      </w:r>
      <w:r>
        <w:rPr>
          <w:rFonts w:ascii="仿宋" w:eastAsia="仿宋" w:hAnsi="仿宋" w:cs="仿宋" w:hint="eastAsia"/>
          <w:kern w:val="0"/>
          <w:sz w:val="32"/>
          <w:szCs w:val="32"/>
        </w:rPr>
        <w:t>岁以下儿童使用本品的安全性和疗效。</w:t>
      </w:r>
    </w:p>
    <w:p w:rsidR="00B23A40" w:rsidRDefault="00DD1A0D">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二、索拉非尼s</w:t>
      </w:r>
      <w:r>
        <w:rPr>
          <w:rFonts w:ascii="黑体" w:eastAsia="黑体" w:hAnsi="黑体" w:cs="黑体"/>
          <w:sz w:val="32"/>
          <w:szCs w:val="32"/>
        </w:rPr>
        <w:t xml:space="preserve">orafenib </w:t>
      </w:r>
    </w:p>
    <w:p w:rsidR="00B23A40" w:rsidRDefault="00DD1A0D">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片剂：</w:t>
      </w:r>
      <w:r>
        <w:rPr>
          <w:rFonts w:ascii="仿宋" w:eastAsia="仿宋" w:hAnsi="仿宋" w:cs="仿宋"/>
          <w:sz w:val="32"/>
          <w:szCs w:val="32"/>
        </w:rPr>
        <w:t xml:space="preserve">200mg </w:t>
      </w:r>
    </w:p>
    <w:p w:rsidR="00B23A40" w:rsidRDefault="00DD1A0D">
      <w:pPr>
        <w:autoSpaceDE w:val="0"/>
        <w:autoSpaceDN w:val="0"/>
        <w:adjustRightInd w:val="0"/>
        <w:spacing w:line="360" w:lineRule="auto"/>
        <w:ind w:firstLineChars="200" w:firstLine="654"/>
        <w:textAlignment w:val="center"/>
        <w:rPr>
          <w:rFonts w:ascii="仿宋" w:eastAsia="仿宋" w:hAnsi="仿宋" w:cs="Times New Roman"/>
          <w:color w:val="000000"/>
          <w:spacing w:val="3"/>
          <w:kern w:val="0"/>
          <w:sz w:val="32"/>
          <w:szCs w:val="32"/>
        </w:rPr>
      </w:pPr>
      <w:r>
        <w:rPr>
          <w:rFonts w:ascii="仿宋" w:eastAsia="仿宋" w:hAnsi="仿宋" w:cs="仿宋" w:hint="eastAsia"/>
          <w:b/>
          <w:bCs/>
          <w:color w:val="000000"/>
          <w:spacing w:val="3"/>
          <w:kern w:val="0"/>
          <w:sz w:val="32"/>
          <w:szCs w:val="32"/>
        </w:rPr>
        <w:t>适应证：</w:t>
      </w:r>
      <w:r>
        <w:rPr>
          <w:rFonts w:ascii="仿宋" w:eastAsia="仿宋" w:hAnsi="仿宋" w:cs="仿宋" w:hint="eastAsia"/>
          <w:color w:val="000000"/>
          <w:kern w:val="0"/>
          <w:sz w:val="32"/>
          <w:szCs w:val="32"/>
        </w:rPr>
        <w:t>治疗局部复发或转移的进展性的放射性碘难治性分化型甲状腺癌。</w:t>
      </w:r>
    </w:p>
    <w:p w:rsidR="00B23A40" w:rsidRDefault="00DD1A0D">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空腹给药，用药前无需进行基因检测。</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存在可疑的药物不良反应时，可能需要暂停和</w:t>
      </w:r>
      <w:r>
        <w:rPr>
          <w:rFonts w:ascii="仿宋" w:eastAsia="仿宋" w:hAnsi="仿宋" w:cs="仿宋"/>
          <w:sz w:val="32"/>
          <w:szCs w:val="32"/>
        </w:rPr>
        <w:t>/</w:t>
      </w:r>
      <w:r>
        <w:rPr>
          <w:rFonts w:ascii="仿宋" w:eastAsia="仿宋" w:hAnsi="仿宋" w:cs="仿宋" w:hint="eastAsia"/>
          <w:sz w:val="32"/>
          <w:szCs w:val="32"/>
        </w:rPr>
        <w:t>或减少索拉非尼剂量。</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最常见的不良反应有腹泻，乏力，脱发，感染，手足皮肤反应，皮疹。</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对索拉非尼或本品任一非活性成分有严重过敏症状的患者禁用。</w:t>
      </w:r>
    </w:p>
    <w:p w:rsidR="00B23A40" w:rsidRDefault="00DD1A0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5.</w:t>
      </w:r>
      <w:r>
        <w:rPr>
          <w:rFonts w:ascii="仿宋" w:eastAsia="仿宋" w:hAnsi="仿宋" w:cs="仿宋" w:hint="eastAsia"/>
          <w:sz w:val="32"/>
          <w:szCs w:val="32"/>
        </w:rPr>
        <w:t>与</w:t>
      </w:r>
      <w:r>
        <w:rPr>
          <w:rFonts w:ascii="仿宋" w:eastAsia="仿宋" w:hAnsi="仿宋" w:cs="仿宋"/>
          <w:sz w:val="32"/>
          <w:szCs w:val="32"/>
        </w:rPr>
        <w:t>UGT1A1</w:t>
      </w:r>
      <w:r>
        <w:rPr>
          <w:rFonts w:ascii="仿宋" w:eastAsia="仿宋" w:hAnsi="仿宋" w:cs="仿宋" w:hint="eastAsia"/>
          <w:sz w:val="32"/>
          <w:szCs w:val="32"/>
        </w:rPr>
        <w:t>途径代谢</w:t>
      </w:r>
      <w:r>
        <w:rPr>
          <w:rFonts w:ascii="仿宋" w:eastAsia="仿宋" w:hAnsi="仿宋" w:cs="仿宋"/>
          <w:sz w:val="32"/>
          <w:szCs w:val="32"/>
        </w:rPr>
        <w:t>/</w:t>
      </w:r>
      <w:r>
        <w:rPr>
          <w:rFonts w:ascii="仿宋" w:eastAsia="仿宋" w:hAnsi="仿宋" w:cs="仿宋" w:hint="eastAsia"/>
          <w:sz w:val="32"/>
          <w:szCs w:val="32"/>
        </w:rPr>
        <w:t>清除的药物联合应用时，需谨慎；与多西他赛联合应用时，需谨慎；与</w:t>
      </w:r>
      <w:r>
        <w:rPr>
          <w:rFonts w:ascii="仿宋" w:eastAsia="仿宋" w:hAnsi="仿宋" w:cs="仿宋"/>
          <w:sz w:val="32"/>
          <w:szCs w:val="32"/>
        </w:rPr>
        <w:t>CYP3A4</w:t>
      </w:r>
      <w:r>
        <w:rPr>
          <w:rFonts w:ascii="仿宋" w:eastAsia="仿宋" w:hAnsi="仿宋" w:cs="仿宋" w:hint="eastAsia"/>
          <w:sz w:val="32"/>
          <w:szCs w:val="32"/>
        </w:rPr>
        <w:t>诱导剂联合应用时可导致索拉非尼的药物浓度降低；与新霉素联合应用可</w:t>
      </w:r>
      <w:r>
        <w:rPr>
          <w:rFonts w:ascii="仿宋" w:eastAsia="仿宋" w:hAnsi="仿宋" w:cs="仿宋" w:hint="eastAsia"/>
          <w:sz w:val="32"/>
          <w:szCs w:val="32"/>
        </w:rPr>
        <w:lastRenderedPageBreak/>
        <w:t>导致索拉非尼的暴露量下降。</w:t>
      </w:r>
    </w:p>
    <w:p w:rsidR="00B23A40" w:rsidRDefault="00B23A40">
      <w:pPr>
        <w:spacing w:line="360" w:lineRule="auto"/>
        <w:ind w:firstLineChars="200" w:firstLine="883"/>
        <w:jc w:val="center"/>
        <w:rPr>
          <w:rFonts w:ascii="宋体" w:hAnsi="宋体" w:cs="宋体"/>
          <w:b/>
          <w:bCs/>
          <w:sz w:val="44"/>
          <w:szCs w:val="44"/>
        </w:rPr>
      </w:pPr>
    </w:p>
    <w:p w:rsidR="00B23A40" w:rsidRDefault="00DD1A0D">
      <w:pPr>
        <w:spacing w:line="360" w:lineRule="auto"/>
        <w:ind w:firstLineChars="200" w:firstLine="883"/>
        <w:jc w:val="center"/>
        <w:rPr>
          <w:rFonts w:ascii="宋体" w:cs="Times New Roman"/>
          <w:b/>
          <w:bCs/>
          <w:sz w:val="44"/>
          <w:szCs w:val="44"/>
        </w:rPr>
      </w:pPr>
      <w:r>
        <w:rPr>
          <w:rFonts w:ascii="宋体" w:hAnsi="宋体" w:cs="宋体" w:hint="eastAsia"/>
          <w:b/>
          <w:bCs/>
          <w:sz w:val="44"/>
          <w:szCs w:val="44"/>
        </w:rPr>
        <w:t>生殖系统肿瘤用药</w:t>
      </w:r>
    </w:p>
    <w:p w:rsidR="00B23A40" w:rsidRDefault="00B23A40">
      <w:pPr>
        <w:ind w:firstLineChars="200" w:firstLine="640"/>
        <w:rPr>
          <w:rFonts w:ascii="黑体" w:eastAsia="黑体" w:hAnsi="黑体"/>
          <w:color w:val="000000"/>
          <w:sz w:val="32"/>
          <w:szCs w:val="32"/>
        </w:rPr>
      </w:pPr>
    </w:p>
    <w:p w:rsidR="00B23A40" w:rsidRDefault="00DD1A0D">
      <w:pPr>
        <w:ind w:firstLineChars="200" w:firstLine="640"/>
        <w:rPr>
          <w:rFonts w:ascii="黑体" w:eastAsia="黑体" w:hAnsi="黑体"/>
          <w:color w:val="000000"/>
          <w:sz w:val="32"/>
          <w:szCs w:val="32"/>
        </w:rPr>
      </w:pPr>
      <w:r>
        <w:rPr>
          <w:rFonts w:ascii="黑体" w:eastAsia="黑体" w:hAnsi="黑体" w:hint="eastAsia"/>
          <w:color w:val="000000"/>
          <w:sz w:val="32"/>
          <w:szCs w:val="32"/>
        </w:rPr>
        <w:t xml:space="preserve">一、奥拉帕利 </w:t>
      </w:r>
      <w:r>
        <w:rPr>
          <w:rFonts w:ascii="黑体" w:eastAsia="黑体" w:hAnsi="黑体"/>
          <w:color w:val="000000"/>
          <w:sz w:val="32"/>
          <w:szCs w:val="32"/>
        </w:rPr>
        <w:t>olaparib</w:t>
      </w:r>
    </w:p>
    <w:p w:rsidR="00B23A40" w:rsidRDefault="00DD1A0D">
      <w:pPr>
        <w:ind w:firstLineChars="200" w:firstLine="643"/>
        <w:rPr>
          <w:rFonts w:ascii="仿宋" w:eastAsia="仿宋" w:hAnsi="仿宋"/>
          <w:color w:val="000000"/>
          <w:sz w:val="32"/>
          <w:szCs w:val="32"/>
        </w:rPr>
      </w:pPr>
      <w:r>
        <w:rPr>
          <w:rFonts w:ascii="仿宋" w:eastAsia="仿宋" w:hAnsi="仿宋" w:hint="eastAsia"/>
          <w:b/>
          <w:color w:val="000000"/>
          <w:sz w:val="32"/>
          <w:szCs w:val="32"/>
        </w:rPr>
        <w:t>制剂与规格：</w:t>
      </w:r>
      <w:r>
        <w:rPr>
          <w:rFonts w:ascii="仿宋" w:eastAsia="仿宋" w:hAnsi="仿宋" w:hint="eastAsia"/>
          <w:color w:val="000000"/>
          <w:sz w:val="32"/>
          <w:szCs w:val="32"/>
        </w:rPr>
        <w:t>片剂：100mg、150mg</w:t>
      </w:r>
    </w:p>
    <w:p w:rsidR="00B23A40" w:rsidRDefault="00DD1A0D">
      <w:pPr>
        <w:ind w:firstLineChars="200" w:firstLine="643"/>
        <w:rPr>
          <w:rFonts w:ascii="仿宋" w:eastAsia="仿宋" w:hAnsi="仿宋"/>
          <w:color w:val="000000"/>
          <w:sz w:val="32"/>
          <w:szCs w:val="32"/>
        </w:rPr>
      </w:pPr>
      <w:r>
        <w:rPr>
          <w:rFonts w:ascii="仿宋" w:eastAsia="仿宋" w:hAnsi="仿宋" w:hint="eastAsia"/>
          <w:b/>
          <w:color w:val="000000"/>
          <w:sz w:val="32"/>
          <w:szCs w:val="32"/>
        </w:rPr>
        <w:t>适应证：</w:t>
      </w:r>
      <w:r>
        <w:rPr>
          <w:rFonts w:ascii="仿宋" w:eastAsia="仿宋" w:hAnsi="仿宋" w:hint="eastAsia"/>
          <w:color w:val="000000"/>
          <w:sz w:val="32"/>
          <w:szCs w:val="32"/>
        </w:rPr>
        <w:t>铂敏感的复发性上皮性卵巢癌、输卵管癌或原发性腹膜癌成人患者在含铂化疗达到完全缓解或部分缓解后的维持治疗。</w:t>
      </w:r>
    </w:p>
    <w:p w:rsidR="00B23A40" w:rsidRDefault="00DD1A0D">
      <w:pPr>
        <w:ind w:firstLineChars="200" w:firstLine="643"/>
        <w:rPr>
          <w:rFonts w:ascii="仿宋" w:eastAsia="仿宋" w:hAnsi="仿宋"/>
          <w:b/>
          <w:color w:val="000000"/>
          <w:sz w:val="32"/>
          <w:szCs w:val="32"/>
        </w:rPr>
      </w:pPr>
      <w:r>
        <w:rPr>
          <w:rFonts w:ascii="仿宋" w:eastAsia="仿宋" w:hAnsi="仿宋" w:hint="eastAsia"/>
          <w:b/>
          <w:color w:val="000000"/>
          <w:sz w:val="32"/>
          <w:szCs w:val="32"/>
        </w:rPr>
        <w:t>合理用药要点：</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1.推荐剂量为每次300mg，每日2次，即每日总剂量为600mg，应在含铂化疗结束后的8周内开始本品治疗，持续治疗直至疾病进展或发生不可接受的毒性反应。</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2.应整片吞服，不应咀嚼、压碎、溶解或掰断药片。在进餐或空腹时均可服用。</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3.如果患者漏服一剂药物，无需补服，仍按计划时间正常服用下一剂量，并不影响整体疗效。</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4.患者应在既往抗肿瘤治疗引起的血液学毒性恢复之后（血红蛋白、血小板和中性粒细胞水平应恢复至≤CTCAE 1级），才开始本品治疗。在治疗最初的12个月内，推荐在基线进行全血细胞检测，随后每月监测一次，之后定期监测治疗期间出现的具有临床意义的参数变化。</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5.用药期间常见的各类不良反应为贫血、血小板减少、中性粒细胞下降、恶心、呕吐、腹泻、上呼吸道感染、疲乏、食欲下降、关节痛、肌痛、味觉障碍和头痛等，其中发生率最高的不良反应依次为恶心、疲乏和贫血，大多为1～2级不良反应，3～4级的贫血发生率为20%。</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6.3～4级不良反应可通过剂量中断来管理。待症状恢复至≤1级时，重新开始原剂量或减量治疗。</w:t>
      </w:r>
    </w:p>
    <w:p w:rsidR="00B23A40" w:rsidRDefault="00DD1A0D">
      <w:pPr>
        <w:ind w:firstLineChars="200" w:firstLine="640"/>
        <w:rPr>
          <w:rFonts w:ascii="仿宋" w:eastAsia="仿宋" w:hAnsi="仿宋"/>
          <w:color w:val="000000"/>
          <w:sz w:val="32"/>
          <w:szCs w:val="32"/>
        </w:rPr>
      </w:pPr>
      <w:r>
        <w:rPr>
          <w:rFonts w:ascii="仿宋" w:eastAsia="仿宋" w:hAnsi="仿宋" w:hint="eastAsia"/>
          <w:color w:val="000000"/>
          <w:sz w:val="32"/>
          <w:szCs w:val="32"/>
        </w:rPr>
        <w:t>7.如果需要减量，推荐剂量减至每次250mg（1片150mg片剂，1片100mg片剂），每日两次，即每日总剂量为500mg。如果需要进一步减量，则推荐剂量减至每次200mg（2片100mg片剂），每日两次，即每日总剂量为400mg。</w:t>
      </w:r>
    </w:p>
    <w:p w:rsidR="00B23A40" w:rsidRDefault="00DD1A0D">
      <w:pPr>
        <w:ind w:firstLineChars="181" w:firstLine="579"/>
      </w:pPr>
      <w:r>
        <w:rPr>
          <w:rFonts w:ascii="仿宋" w:eastAsia="仿宋" w:hAnsi="仿宋" w:hint="eastAsia"/>
          <w:color w:val="000000"/>
          <w:sz w:val="32"/>
          <w:szCs w:val="32"/>
        </w:rPr>
        <w:t>8.不推荐本品与强效或中效CYP3A抑制剂合并使用，如果必须合并使用强效或中效CYP3A抑制剂，推荐将本品剂量减至100mg，每日2次，如果必须合并使用中效CYP3A抑制剂，推荐将本品剂量减至150mg，每日2次。</w:t>
      </w:r>
    </w:p>
    <w:p w:rsidR="00B23A40" w:rsidRDefault="00B23A40">
      <w:pPr>
        <w:ind w:firstLineChars="200" w:firstLine="640"/>
        <w:rPr>
          <w:rFonts w:ascii="仿宋" w:eastAsia="仿宋" w:hAnsi="仿宋"/>
          <w:color w:val="000000"/>
          <w:sz w:val="32"/>
          <w:szCs w:val="32"/>
        </w:rPr>
      </w:pPr>
    </w:p>
    <w:p w:rsidR="00B23A40" w:rsidRDefault="00B23A40">
      <w:pPr>
        <w:spacing w:line="480" w:lineRule="exact"/>
        <w:rPr>
          <w:rFonts w:ascii="仿宋_GB2312" w:eastAsia="仿宋_GB2312" w:hAnsi="宋体" w:cs="Times New Roman"/>
          <w:sz w:val="28"/>
          <w:szCs w:val="28"/>
        </w:rPr>
      </w:pPr>
    </w:p>
    <w:sectPr w:rsidR="00B23A40" w:rsidSect="005E4491">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6F2" w:rsidRDefault="001A46F2">
      <w:r>
        <w:separator/>
      </w:r>
    </w:p>
  </w:endnote>
  <w:endnote w:type="continuationSeparator" w:id="0">
    <w:p w:rsidR="001A46F2" w:rsidRDefault="001A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Shaker 2 Lancet">
    <w:altName w:val="微软雅黑"/>
    <w:charset w:val="86"/>
    <w:family w:val="swiss"/>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Segoe UI Emoji">
    <w:altName w:val="Segoe UI Symbol"/>
    <w:charset w:val="00"/>
    <w:family w:val="swiss"/>
    <w:pitch w:val="variable"/>
    <w:sig w:usb0="00000003" w:usb1="02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9C4" w:rsidRDefault="001A46F2">
    <w:pPr>
      <w:pStyle w:val="a9"/>
      <w:jc w:val="center"/>
    </w:pPr>
    <w:r>
      <w:fldChar w:fldCharType="begin"/>
    </w:r>
    <w:r>
      <w:instrText xml:space="preserve"> PAGE </w:instrText>
    </w:r>
    <w:r>
      <w:fldChar w:fldCharType="separate"/>
    </w:r>
    <w:r w:rsidR="0064405D">
      <w:rPr>
        <w:noProof/>
      </w:rPr>
      <w:t>3</w:t>
    </w:r>
    <w:r>
      <w:rPr>
        <w:noProof/>
      </w:rPr>
      <w:fldChar w:fldCharType="end"/>
    </w:r>
  </w:p>
  <w:p w:rsidR="004B59C4" w:rsidRDefault="004B59C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9C4" w:rsidRDefault="001A46F2">
    <w:pPr>
      <w:pStyle w:val="a9"/>
      <w:jc w:val="center"/>
    </w:pPr>
    <w:r>
      <w:fldChar w:fldCharType="begin"/>
    </w:r>
    <w:r>
      <w:instrText xml:space="preserve"> PAGE </w:instrText>
    </w:r>
    <w:r>
      <w:fldChar w:fldCharType="separate"/>
    </w:r>
    <w:r w:rsidR="0064405D">
      <w:rPr>
        <w:noProof/>
      </w:rPr>
      <w:t>79</w:t>
    </w:r>
    <w:r>
      <w:rPr>
        <w:noProof/>
      </w:rPr>
      <w:fldChar w:fldCharType="end"/>
    </w:r>
  </w:p>
  <w:p w:rsidR="004B59C4" w:rsidRDefault="004B59C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6F2" w:rsidRDefault="001A46F2">
      <w:r>
        <w:separator/>
      </w:r>
    </w:p>
  </w:footnote>
  <w:footnote w:type="continuationSeparator" w:id="0">
    <w:p w:rsidR="001A46F2" w:rsidRDefault="001A46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5EB"/>
    <w:rsid w:val="D7FB3D84"/>
    <w:rsid w:val="00004C43"/>
    <w:rsid w:val="00010695"/>
    <w:rsid w:val="00015DE6"/>
    <w:rsid w:val="000175C9"/>
    <w:rsid w:val="0001765A"/>
    <w:rsid w:val="00020185"/>
    <w:rsid w:val="00020E94"/>
    <w:rsid w:val="0002109A"/>
    <w:rsid w:val="000213CA"/>
    <w:rsid w:val="00022455"/>
    <w:rsid w:val="00022912"/>
    <w:rsid w:val="00023897"/>
    <w:rsid w:val="000249D9"/>
    <w:rsid w:val="00024BC0"/>
    <w:rsid w:val="000253B0"/>
    <w:rsid w:val="00027232"/>
    <w:rsid w:val="00027D48"/>
    <w:rsid w:val="00031946"/>
    <w:rsid w:val="00031C0B"/>
    <w:rsid w:val="00032E95"/>
    <w:rsid w:val="000353DF"/>
    <w:rsid w:val="00036D44"/>
    <w:rsid w:val="00037101"/>
    <w:rsid w:val="000464C2"/>
    <w:rsid w:val="00052845"/>
    <w:rsid w:val="00060AED"/>
    <w:rsid w:val="000617CB"/>
    <w:rsid w:val="00061AF9"/>
    <w:rsid w:val="00062582"/>
    <w:rsid w:val="0006332C"/>
    <w:rsid w:val="000731EE"/>
    <w:rsid w:val="000739D7"/>
    <w:rsid w:val="00076D01"/>
    <w:rsid w:val="00077D68"/>
    <w:rsid w:val="00081202"/>
    <w:rsid w:val="000814D5"/>
    <w:rsid w:val="00084F9E"/>
    <w:rsid w:val="00085280"/>
    <w:rsid w:val="00085C11"/>
    <w:rsid w:val="000876D4"/>
    <w:rsid w:val="00094AF8"/>
    <w:rsid w:val="000A04F6"/>
    <w:rsid w:val="000A75A6"/>
    <w:rsid w:val="000B0043"/>
    <w:rsid w:val="000B21F5"/>
    <w:rsid w:val="000B3B9C"/>
    <w:rsid w:val="000B4648"/>
    <w:rsid w:val="000B6EE2"/>
    <w:rsid w:val="000D238F"/>
    <w:rsid w:val="000E2993"/>
    <w:rsid w:val="000E2E19"/>
    <w:rsid w:val="000E3ADB"/>
    <w:rsid w:val="000F2EC4"/>
    <w:rsid w:val="000F6B2D"/>
    <w:rsid w:val="0010266A"/>
    <w:rsid w:val="00103225"/>
    <w:rsid w:val="00105124"/>
    <w:rsid w:val="00113865"/>
    <w:rsid w:val="0011497E"/>
    <w:rsid w:val="0011540A"/>
    <w:rsid w:val="00125247"/>
    <w:rsid w:val="001253AE"/>
    <w:rsid w:val="0013033A"/>
    <w:rsid w:val="00135022"/>
    <w:rsid w:val="00135AC5"/>
    <w:rsid w:val="0013632B"/>
    <w:rsid w:val="00144DAF"/>
    <w:rsid w:val="0014797D"/>
    <w:rsid w:val="00154CBD"/>
    <w:rsid w:val="001716E7"/>
    <w:rsid w:val="00181808"/>
    <w:rsid w:val="001850C6"/>
    <w:rsid w:val="00195F50"/>
    <w:rsid w:val="00197D58"/>
    <w:rsid w:val="001A3C34"/>
    <w:rsid w:val="001A43B8"/>
    <w:rsid w:val="001A46D0"/>
    <w:rsid w:val="001A46F2"/>
    <w:rsid w:val="001A5075"/>
    <w:rsid w:val="001A58CC"/>
    <w:rsid w:val="001A7066"/>
    <w:rsid w:val="001C08B9"/>
    <w:rsid w:val="001C222C"/>
    <w:rsid w:val="001C4AF4"/>
    <w:rsid w:val="001D2593"/>
    <w:rsid w:val="001D63F4"/>
    <w:rsid w:val="001E6072"/>
    <w:rsid w:val="001E646A"/>
    <w:rsid w:val="001F0994"/>
    <w:rsid w:val="001F2F03"/>
    <w:rsid w:val="001F4053"/>
    <w:rsid w:val="001F5206"/>
    <w:rsid w:val="001F6F4D"/>
    <w:rsid w:val="002154E4"/>
    <w:rsid w:val="00227414"/>
    <w:rsid w:val="00227F6E"/>
    <w:rsid w:val="00232935"/>
    <w:rsid w:val="002334FE"/>
    <w:rsid w:val="00236D8F"/>
    <w:rsid w:val="00246321"/>
    <w:rsid w:val="002465B7"/>
    <w:rsid w:val="00247CA2"/>
    <w:rsid w:val="00251E9B"/>
    <w:rsid w:val="0025507D"/>
    <w:rsid w:val="002579FC"/>
    <w:rsid w:val="00261B42"/>
    <w:rsid w:val="002654DD"/>
    <w:rsid w:val="002742C3"/>
    <w:rsid w:val="00281CF1"/>
    <w:rsid w:val="00283011"/>
    <w:rsid w:val="002858AB"/>
    <w:rsid w:val="00286AED"/>
    <w:rsid w:val="002907E5"/>
    <w:rsid w:val="00294D70"/>
    <w:rsid w:val="00296041"/>
    <w:rsid w:val="002978D4"/>
    <w:rsid w:val="002A0C50"/>
    <w:rsid w:val="002A5D31"/>
    <w:rsid w:val="002A648C"/>
    <w:rsid w:val="002A70A9"/>
    <w:rsid w:val="002B38E2"/>
    <w:rsid w:val="002B4C40"/>
    <w:rsid w:val="002C1D47"/>
    <w:rsid w:val="002C4AB3"/>
    <w:rsid w:val="002C6AE4"/>
    <w:rsid w:val="002D278F"/>
    <w:rsid w:val="002D2992"/>
    <w:rsid w:val="002D3F85"/>
    <w:rsid w:val="002D5D9F"/>
    <w:rsid w:val="002D6BAE"/>
    <w:rsid w:val="002E0F69"/>
    <w:rsid w:val="002E2F19"/>
    <w:rsid w:val="002E584B"/>
    <w:rsid w:val="002E71E7"/>
    <w:rsid w:val="002F0C77"/>
    <w:rsid w:val="0030069E"/>
    <w:rsid w:val="00306834"/>
    <w:rsid w:val="003109DB"/>
    <w:rsid w:val="00310B1B"/>
    <w:rsid w:val="00313C5E"/>
    <w:rsid w:val="00315649"/>
    <w:rsid w:val="00326B02"/>
    <w:rsid w:val="00337FFD"/>
    <w:rsid w:val="003473BD"/>
    <w:rsid w:val="003504EB"/>
    <w:rsid w:val="00353237"/>
    <w:rsid w:val="00354AF9"/>
    <w:rsid w:val="003574B2"/>
    <w:rsid w:val="00357CA0"/>
    <w:rsid w:val="00360C63"/>
    <w:rsid w:val="00364D5A"/>
    <w:rsid w:val="00381374"/>
    <w:rsid w:val="00382073"/>
    <w:rsid w:val="0039637E"/>
    <w:rsid w:val="00397FAE"/>
    <w:rsid w:val="003B0B23"/>
    <w:rsid w:val="003C230F"/>
    <w:rsid w:val="003C3ABC"/>
    <w:rsid w:val="003C4D37"/>
    <w:rsid w:val="003C5609"/>
    <w:rsid w:val="003C6BF5"/>
    <w:rsid w:val="003D32B6"/>
    <w:rsid w:val="003D66B8"/>
    <w:rsid w:val="003D6937"/>
    <w:rsid w:val="003D6E47"/>
    <w:rsid w:val="003E7C82"/>
    <w:rsid w:val="003F1CDC"/>
    <w:rsid w:val="0040184E"/>
    <w:rsid w:val="00404D24"/>
    <w:rsid w:val="00404FF6"/>
    <w:rsid w:val="00411324"/>
    <w:rsid w:val="00424E11"/>
    <w:rsid w:val="0044035B"/>
    <w:rsid w:val="00440F03"/>
    <w:rsid w:val="004413C1"/>
    <w:rsid w:val="00442B7F"/>
    <w:rsid w:val="004450DC"/>
    <w:rsid w:val="004468FB"/>
    <w:rsid w:val="00446910"/>
    <w:rsid w:val="00447816"/>
    <w:rsid w:val="0045057D"/>
    <w:rsid w:val="0045394B"/>
    <w:rsid w:val="0045455C"/>
    <w:rsid w:val="00471B7A"/>
    <w:rsid w:val="004825B9"/>
    <w:rsid w:val="00482A22"/>
    <w:rsid w:val="00483D90"/>
    <w:rsid w:val="00484425"/>
    <w:rsid w:val="004873CD"/>
    <w:rsid w:val="004B59C4"/>
    <w:rsid w:val="004C1E08"/>
    <w:rsid w:val="004C2385"/>
    <w:rsid w:val="004D12DF"/>
    <w:rsid w:val="004D3A24"/>
    <w:rsid w:val="004D3C7F"/>
    <w:rsid w:val="004D4630"/>
    <w:rsid w:val="004E270F"/>
    <w:rsid w:val="004E523A"/>
    <w:rsid w:val="004F08D7"/>
    <w:rsid w:val="00513799"/>
    <w:rsid w:val="00513C7E"/>
    <w:rsid w:val="005200D6"/>
    <w:rsid w:val="005240DA"/>
    <w:rsid w:val="00532726"/>
    <w:rsid w:val="00542BB5"/>
    <w:rsid w:val="00543B77"/>
    <w:rsid w:val="00544739"/>
    <w:rsid w:val="00574A0C"/>
    <w:rsid w:val="00576A87"/>
    <w:rsid w:val="00580975"/>
    <w:rsid w:val="005945BD"/>
    <w:rsid w:val="00595B35"/>
    <w:rsid w:val="005A1123"/>
    <w:rsid w:val="005A449A"/>
    <w:rsid w:val="005A53B9"/>
    <w:rsid w:val="005A762D"/>
    <w:rsid w:val="005B7DB7"/>
    <w:rsid w:val="005C185B"/>
    <w:rsid w:val="005C2C9F"/>
    <w:rsid w:val="005C319F"/>
    <w:rsid w:val="005C3FB7"/>
    <w:rsid w:val="005C4483"/>
    <w:rsid w:val="005C606C"/>
    <w:rsid w:val="005E4491"/>
    <w:rsid w:val="005E5A74"/>
    <w:rsid w:val="005E6CDA"/>
    <w:rsid w:val="005E79F6"/>
    <w:rsid w:val="005F26EF"/>
    <w:rsid w:val="00605F75"/>
    <w:rsid w:val="00611840"/>
    <w:rsid w:val="00615E95"/>
    <w:rsid w:val="00617E0D"/>
    <w:rsid w:val="00617F86"/>
    <w:rsid w:val="00621709"/>
    <w:rsid w:val="00623C9E"/>
    <w:rsid w:val="00626972"/>
    <w:rsid w:val="00627C47"/>
    <w:rsid w:val="00634965"/>
    <w:rsid w:val="00636AFF"/>
    <w:rsid w:val="0064405D"/>
    <w:rsid w:val="006535B3"/>
    <w:rsid w:val="00655FD5"/>
    <w:rsid w:val="0066756F"/>
    <w:rsid w:val="006744CA"/>
    <w:rsid w:val="00680442"/>
    <w:rsid w:val="00682343"/>
    <w:rsid w:val="0068514A"/>
    <w:rsid w:val="006879F4"/>
    <w:rsid w:val="00692AD8"/>
    <w:rsid w:val="00695DBF"/>
    <w:rsid w:val="006A7C79"/>
    <w:rsid w:val="006B5E17"/>
    <w:rsid w:val="006B7557"/>
    <w:rsid w:val="006C3D55"/>
    <w:rsid w:val="006C765F"/>
    <w:rsid w:val="006D2D16"/>
    <w:rsid w:val="006D4CDE"/>
    <w:rsid w:val="006D57FD"/>
    <w:rsid w:val="006D6B9C"/>
    <w:rsid w:val="006D71A5"/>
    <w:rsid w:val="006D72D9"/>
    <w:rsid w:val="006E39F5"/>
    <w:rsid w:val="006E446B"/>
    <w:rsid w:val="006E60F2"/>
    <w:rsid w:val="006E67E9"/>
    <w:rsid w:val="006F0A68"/>
    <w:rsid w:val="006F153E"/>
    <w:rsid w:val="006F21BF"/>
    <w:rsid w:val="006F29AD"/>
    <w:rsid w:val="006F5207"/>
    <w:rsid w:val="006F72CA"/>
    <w:rsid w:val="00703B53"/>
    <w:rsid w:val="00704143"/>
    <w:rsid w:val="00704E9F"/>
    <w:rsid w:val="007073E2"/>
    <w:rsid w:val="007078CA"/>
    <w:rsid w:val="00707AAE"/>
    <w:rsid w:val="00712A89"/>
    <w:rsid w:val="0071704F"/>
    <w:rsid w:val="00721087"/>
    <w:rsid w:val="00721589"/>
    <w:rsid w:val="00731D8C"/>
    <w:rsid w:val="0073580E"/>
    <w:rsid w:val="00735A26"/>
    <w:rsid w:val="007441F5"/>
    <w:rsid w:val="00744366"/>
    <w:rsid w:val="00744D68"/>
    <w:rsid w:val="00753A3E"/>
    <w:rsid w:val="00756A6E"/>
    <w:rsid w:val="007638D7"/>
    <w:rsid w:val="00773D1F"/>
    <w:rsid w:val="007779D6"/>
    <w:rsid w:val="007834ED"/>
    <w:rsid w:val="00785886"/>
    <w:rsid w:val="00785C07"/>
    <w:rsid w:val="007867E6"/>
    <w:rsid w:val="007918F4"/>
    <w:rsid w:val="00793E28"/>
    <w:rsid w:val="007945F2"/>
    <w:rsid w:val="007A05CC"/>
    <w:rsid w:val="007A0D27"/>
    <w:rsid w:val="007A4559"/>
    <w:rsid w:val="007A477C"/>
    <w:rsid w:val="007A5B0E"/>
    <w:rsid w:val="007B2FAE"/>
    <w:rsid w:val="007B3A91"/>
    <w:rsid w:val="007B49E9"/>
    <w:rsid w:val="007B6453"/>
    <w:rsid w:val="007C3AA6"/>
    <w:rsid w:val="007C3BA5"/>
    <w:rsid w:val="007C3F2F"/>
    <w:rsid w:val="007C6CE9"/>
    <w:rsid w:val="007D02FC"/>
    <w:rsid w:val="007D175E"/>
    <w:rsid w:val="007D5176"/>
    <w:rsid w:val="007D5B27"/>
    <w:rsid w:val="007D7077"/>
    <w:rsid w:val="007D75CA"/>
    <w:rsid w:val="007D7FE4"/>
    <w:rsid w:val="007E0FB4"/>
    <w:rsid w:val="007E5B68"/>
    <w:rsid w:val="007F2219"/>
    <w:rsid w:val="007F2320"/>
    <w:rsid w:val="007F2D33"/>
    <w:rsid w:val="00807440"/>
    <w:rsid w:val="008130C0"/>
    <w:rsid w:val="00815719"/>
    <w:rsid w:val="00817D82"/>
    <w:rsid w:val="0082133E"/>
    <w:rsid w:val="008215C9"/>
    <w:rsid w:val="00832B06"/>
    <w:rsid w:val="008375F9"/>
    <w:rsid w:val="00843358"/>
    <w:rsid w:val="00843FCC"/>
    <w:rsid w:val="00844523"/>
    <w:rsid w:val="0085684F"/>
    <w:rsid w:val="00856C5B"/>
    <w:rsid w:val="008628C0"/>
    <w:rsid w:val="00863722"/>
    <w:rsid w:val="00872755"/>
    <w:rsid w:val="00875953"/>
    <w:rsid w:val="00875ABA"/>
    <w:rsid w:val="00875F26"/>
    <w:rsid w:val="00876E72"/>
    <w:rsid w:val="00891A36"/>
    <w:rsid w:val="00892470"/>
    <w:rsid w:val="00893B76"/>
    <w:rsid w:val="00895BD5"/>
    <w:rsid w:val="00896558"/>
    <w:rsid w:val="00897E77"/>
    <w:rsid w:val="008B061F"/>
    <w:rsid w:val="008B18DC"/>
    <w:rsid w:val="008B1A1C"/>
    <w:rsid w:val="008C2CB6"/>
    <w:rsid w:val="008D4461"/>
    <w:rsid w:val="008D77C5"/>
    <w:rsid w:val="008E0947"/>
    <w:rsid w:val="008E3C5C"/>
    <w:rsid w:val="008E3E01"/>
    <w:rsid w:val="008E4AE1"/>
    <w:rsid w:val="008E69C8"/>
    <w:rsid w:val="008E76BD"/>
    <w:rsid w:val="008F1118"/>
    <w:rsid w:val="008F37F6"/>
    <w:rsid w:val="008F525B"/>
    <w:rsid w:val="009024CF"/>
    <w:rsid w:val="0090525B"/>
    <w:rsid w:val="0090534F"/>
    <w:rsid w:val="009056F8"/>
    <w:rsid w:val="00921BD8"/>
    <w:rsid w:val="00927AA9"/>
    <w:rsid w:val="0093082A"/>
    <w:rsid w:val="00931E5F"/>
    <w:rsid w:val="00937BE8"/>
    <w:rsid w:val="00952D80"/>
    <w:rsid w:val="00962D00"/>
    <w:rsid w:val="00963877"/>
    <w:rsid w:val="0097019E"/>
    <w:rsid w:val="0097033D"/>
    <w:rsid w:val="00971D33"/>
    <w:rsid w:val="0097339B"/>
    <w:rsid w:val="00981559"/>
    <w:rsid w:val="00983FB7"/>
    <w:rsid w:val="00985C52"/>
    <w:rsid w:val="00986BF1"/>
    <w:rsid w:val="009965A0"/>
    <w:rsid w:val="009A174C"/>
    <w:rsid w:val="009A40DA"/>
    <w:rsid w:val="009A5D83"/>
    <w:rsid w:val="009A7F82"/>
    <w:rsid w:val="009B7002"/>
    <w:rsid w:val="009C4BC5"/>
    <w:rsid w:val="009C6717"/>
    <w:rsid w:val="009D71B5"/>
    <w:rsid w:val="009D7E54"/>
    <w:rsid w:val="009E26A7"/>
    <w:rsid w:val="009E26AF"/>
    <w:rsid w:val="009F046B"/>
    <w:rsid w:val="009F0960"/>
    <w:rsid w:val="009F2D73"/>
    <w:rsid w:val="009F6CEC"/>
    <w:rsid w:val="00A0731D"/>
    <w:rsid w:val="00A106E5"/>
    <w:rsid w:val="00A12A59"/>
    <w:rsid w:val="00A1500F"/>
    <w:rsid w:val="00A22A1B"/>
    <w:rsid w:val="00A273A7"/>
    <w:rsid w:val="00A30124"/>
    <w:rsid w:val="00A3414A"/>
    <w:rsid w:val="00A3594B"/>
    <w:rsid w:val="00A35A43"/>
    <w:rsid w:val="00A400BA"/>
    <w:rsid w:val="00A406CE"/>
    <w:rsid w:val="00A46342"/>
    <w:rsid w:val="00A50C4B"/>
    <w:rsid w:val="00A52070"/>
    <w:rsid w:val="00A569D0"/>
    <w:rsid w:val="00A62C49"/>
    <w:rsid w:val="00A66D37"/>
    <w:rsid w:val="00A66EE1"/>
    <w:rsid w:val="00A703DE"/>
    <w:rsid w:val="00A73CCD"/>
    <w:rsid w:val="00A73ED7"/>
    <w:rsid w:val="00A75B30"/>
    <w:rsid w:val="00A81084"/>
    <w:rsid w:val="00A8472B"/>
    <w:rsid w:val="00A8689E"/>
    <w:rsid w:val="00A915CE"/>
    <w:rsid w:val="00A93A94"/>
    <w:rsid w:val="00A963AD"/>
    <w:rsid w:val="00A97B3C"/>
    <w:rsid w:val="00AA2E96"/>
    <w:rsid w:val="00AA5AD5"/>
    <w:rsid w:val="00AA5E85"/>
    <w:rsid w:val="00AB23DE"/>
    <w:rsid w:val="00AB2DF6"/>
    <w:rsid w:val="00AB6F05"/>
    <w:rsid w:val="00AC5D58"/>
    <w:rsid w:val="00AC6D42"/>
    <w:rsid w:val="00AD2586"/>
    <w:rsid w:val="00AD2EAB"/>
    <w:rsid w:val="00AD4379"/>
    <w:rsid w:val="00AE045B"/>
    <w:rsid w:val="00AE090E"/>
    <w:rsid w:val="00AF04B6"/>
    <w:rsid w:val="00AF0551"/>
    <w:rsid w:val="00AF5BDA"/>
    <w:rsid w:val="00AF5F46"/>
    <w:rsid w:val="00AF60EF"/>
    <w:rsid w:val="00B00559"/>
    <w:rsid w:val="00B044C0"/>
    <w:rsid w:val="00B11865"/>
    <w:rsid w:val="00B11C2C"/>
    <w:rsid w:val="00B23A40"/>
    <w:rsid w:val="00B24611"/>
    <w:rsid w:val="00B30A84"/>
    <w:rsid w:val="00B30F1F"/>
    <w:rsid w:val="00B3191A"/>
    <w:rsid w:val="00B32B53"/>
    <w:rsid w:val="00B32C20"/>
    <w:rsid w:val="00B377AC"/>
    <w:rsid w:val="00B40595"/>
    <w:rsid w:val="00B46A28"/>
    <w:rsid w:val="00B56D67"/>
    <w:rsid w:val="00B632D9"/>
    <w:rsid w:val="00B6412F"/>
    <w:rsid w:val="00B664AF"/>
    <w:rsid w:val="00B71E92"/>
    <w:rsid w:val="00B806FF"/>
    <w:rsid w:val="00B80F5E"/>
    <w:rsid w:val="00B839DF"/>
    <w:rsid w:val="00B86589"/>
    <w:rsid w:val="00B92BC6"/>
    <w:rsid w:val="00B93F7A"/>
    <w:rsid w:val="00B97C70"/>
    <w:rsid w:val="00BA2272"/>
    <w:rsid w:val="00BB1AE9"/>
    <w:rsid w:val="00BB46CD"/>
    <w:rsid w:val="00BC3688"/>
    <w:rsid w:val="00BC3B37"/>
    <w:rsid w:val="00BD1624"/>
    <w:rsid w:val="00BD60EC"/>
    <w:rsid w:val="00BE38A9"/>
    <w:rsid w:val="00BE7B83"/>
    <w:rsid w:val="00BF4F36"/>
    <w:rsid w:val="00BF511A"/>
    <w:rsid w:val="00BF7ADA"/>
    <w:rsid w:val="00C010B6"/>
    <w:rsid w:val="00C01494"/>
    <w:rsid w:val="00C060D0"/>
    <w:rsid w:val="00C15ACE"/>
    <w:rsid w:val="00C32FF4"/>
    <w:rsid w:val="00C43AD8"/>
    <w:rsid w:val="00C46D0E"/>
    <w:rsid w:val="00C53C9F"/>
    <w:rsid w:val="00C55DBD"/>
    <w:rsid w:val="00C576DD"/>
    <w:rsid w:val="00C6014D"/>
    <w:rsid w:val="00C63A1F"/>
    <w:rsid w:val="00C6563B"/>
    <w:rsid w:val="00C71B6D"/>
    <w:rsid w:val="00C74CFA"/>
    <w:rsid w:val="00C75E6E"/>
    <w:rsid w:val="00C76845"/>
    <w:rsid w:val="00C8328B"/>
    <w:rsid w:val="00CA1D16"/>
    <w:rsid w:val="00CA3680"/>
    <w:rsid w:val="00CB4807"/>
    <w:rsid w:val="00CB52DD"/>
    <w:rsid w:val="00CC03AD"/>
    <w:rsid w:val="00CC0554"/>
    <w:rsid w:val="00CC3443"/>
    <w:rsid w:val="00CC3E48"/>
    <w:rsid w:val="00CC584E"/>
    <w:rsid w:val="00CC7689"/>
    <w:rsid w:val="00CE6011"/>
    <w:rsid w:val="00CE6442"/>
    <w:rsid w:val="00CF1593"/>
    <w:rsid w:val="00CF15A9"/>
    <w:rsid w:val="00CF1B8F"/>
    <w:rsid w:val="00CF37C8"/>
    <w:rsid w:val="00CF59DD"/>
    <w:rsid w:val="00CF67AE"/>
    <w:rsid w:val="00D20CEC"/>
    <w:rsid w:val="00D21F25"/>
    <w:rsid w:val="00D243E0"/>
    <w:rsid w:val="00D27AAC"/>
    <w:rsid w:val="00D320DF"/>
    <w:rsid w:val="00D34130"/>
    <w:rsid w:val="00D5231A"/>
    <w:rsid w:val="00D54999"/>
    <w:rsid w:val="00D6104B"/>
    <w:rsid w:val="00D62728"/>
    <w:rsid w:val="00D63500"/>
    <w:rsid w:val="00D6503C"/>
    <w:rsid w:val="00D832B9"/>
    <w:rsid w:val="00D852AB"/>
    <w:rsid w:val="00D92390"/>
    <w:rsid w:val="00D94CEB"/>
    <w:rsid w:val="00DA1FE7"/>
    <w:rsid w:val="00DA3659"/>
    <w:rsid w:val="00DA43FB"/>
    <w:rsid w:val="00DA5437"/>
    <w:rsid w:val="00DA5608"/>
    <w:rsid w:val="00DB2BFF"/>
    <w:rsid w:val="00DB4EF8"/>
    <w:rsid w:val="00DC1227"/>
    <w:rsid w:val="00DC17A8"/>
    <w:rsid w:val="00DC3092"/>
    <w:rsid w:val="00DC5BA6"/>
    <w:rsid w:val="00DC5D64"/>
    <w:rsid w:val="00DD11F7"/>
    <w:rsid w:val="00DD1A0D"/>
    <w:rsid w:val="00DE25BC"/>
    <w:rsid w:val="00DE2A55"/>
    <w:rsid w:val="00DE4546"/>
    <w:rsid w:val="00DE4D59"/>
    <w:rsid w:val="00DF0D48"/>
    <w:rsid w:val="00DF4D52"/>
    <w:rsid w:val="00DF56E0"/>
    <w:rsid w:val="00E01512"/>
    <w:rsid w:val="00E031C7"/>
    <w:rsid w:val="00E11B03"/>
    <w:rsid w:val="00E12F52"/>
    <w:rsid w:val="00E1756D"/>
    <w:rsid w:val="00E2083C"/>
    <w:rsid w:val="00E22B2A"/>
    <w:rsid w:val="00E25C0C"/>
    <w:rsid w:val="00E26416"/>
    <w:rsid w:val="00E3136C"/>
    <w:rsid w:val="00E33589"/>
    <w:rsid w:val="00E33B7C"/>
    <w:rsid w:val="00E44CFC"/>
    <w:rsid w:val="00E517EB"/>
    <w:rsid w:val="00E51E8C"/>
    <w:rsid w:val="00E65D0D"/>
    <w:rsid w:val="00E66334"/>
    <w:rsid w:val="00E6792C"/>
    <w:rsid w:val="00E72584"/>
    <w:rsid w:val="00E73F3F"/>
    <w:rsid w:val="00E7693B"/>
    <w:rsid w:val="00E843B8"/>
    <w:rsid w:val="00E8555E"/>
    <w:rsid w:val="00E92638"/>
    <w:rsid w:val="00E92EE7"/>
    <w:rsid w:val="00E96549"/>
    <w:rsid w:val="00E9713C"/>
    <w:rsid w:val="00EA3783"/>
    <w:rsid w:val="00EA59CB"/>
    <w:rsid w:val="00EA6A29"/>
    <w:rsid w:val="00EA6BC7"/>
    <w:rsid w:val="00EB1AAF"/>
    <w:rsid w:val="00EB4B9F"/>
    <w:rsid w:val="00EC014E"/>
    <w:rsid w:val="00EC3363"/>
    <w:rsid w:val="00EC57AA"/>
    <w:rsid w:val="00EC617D"/>
    <w:rsid w:val="00ED037F"/>
    <w:rsid w:val="00ED1DDD"/>
    <w:rsid w:val="00ED6768"/>
    <w:rsid w:val="00ED6B7E"/>
    <w:rsid w:val="00EE3775"/>
    <w:rsid w:val="00EE5C77"/>
    <w:rsid w:val="00EF5E02"/>
    <w:rsid w:val="00F075EB"/>
    <w:rsid w:val="00F07CA7"/>
    <w:rsid w:val="00F13B6A"/>
    <w:rsid w:val="00F14B40"/>
    <w:rsid w:val="00F20CB0"/>
    <w:rsid w:val="00F23FFE"/>
    <w:rsid w:val="00F2585B"/>
    <w:rsid w:val="00F26006"/>
    <w:rsid w:val="00F26E4E"/>
    <w:rsid w:val="00F304BA"/>
    <w:rsid w:val="00F3557B"/>
    <w:rsid w:val="00F37D4F"/>
    <w:rsid w:val="00F46546"/>
    <w:rsid w:val="00F50A26"/>
    <w:rsid w:val="00F50ABF"/>
    <w:rsid w:val="00F50C1E"/>
    <w:rsid w:val="00F513B5"/>
    <w:rsid w:val="00F624FF"/>
    <w:rsid w:val="00F6389C"/>
    <w:rsid w:val="00F66F79"/>
    <w:rsid w:val="00F67EDE"/>
    <w:rsid w:val="00F70E80"/>
    <w:rsid w:val="00F82D61"/>
    <w:rsid w:val="00F83654"/>
    <w:rsid w:val="00F85781"/>
    <w:rsid w:val="00F923CE"/>
    <w:rsid w:val="00F923D4"/>
    <w:rsid w:val="00F976EE"/>
    <w:rsid w:val="00FA3CC6"/>
    <w:rsid w:val="00FA6179"/>
    <w:rsid w:val="00FA7374"/>
    <w:rsid w:val="00FA7A79"/>
    <w:rsid w:val="00FB2301"/>
    <w:rsid w:val="00FB7FDB"/>
    <w:rsid w:val="00FC186C"/>
    <w:rsid w:val="00FC248E"/>
    <w:rsid w:val="00FC352C"/>
    <w:rsid w:val="00FC5857"/>
    <w:rsid w:val="00FD75C8"/>
    <w:rsid w:val="00FE0C2F"/>
    <w:rsid w:val="00FE55AB"/>
    <w:rsid w:val="00FF29BE"/>
    <w:rsid w:val="06045B89"/>
    <w:rsid w:val="0DE74B18"/>
    <w:rsid w:val="0E8A61DB"/>
    <w:rsid w:val="0ED3147E"/>
    <w:rsid w:val="0FEB30D1"/>
    <w:rsid w:val="14252BA3"/>
    <w:rsid w:val="19F14654"/>
    <w:rsid w:val="1C0870A9"/>
    <w:rsid w:val="23297278"/>
    <w:rsid w:val="23CD0428"/>
    <w:rsid w:val="29D157BD"/>
    <w:rsid w:val="2A6F604A"/>
    <w:rsid w:val="2E7A0B38"/>
    <w:rsid w:val="34802589"/>
    <w:rsid w:val="387959DC"/>
    <w:rsid w:val="3B3A455F"/>
    <w:rsid w:val="3C5477DF"/>
    <w:rsid w:val="3CBF6C41"/>
    <w:rsid w:val="3D7266DB"/>
    <w:rsid w:val="3FFD6636"/>
    <w:rsid w:val="409F59E4"/>
    <w:rsid w:val="4218721B"/>
    <w:rsid w:val="435C1FB1"/>
    <w:rsid w:val="44121283"/>
    <w:rsid w:val="48CD1F75"/>
    <w:rsid w:val="4FF97139"/>
    <w:rsid w:val="512A2463"/>
    <w:rsid w:val="53650008"/>
    <w:rsid w:val="56E73CA5"/>
    <w:rsid w:val="57A26CBB"/>
    <w:rsid w:val="59105022"/>
    <w:rsid w:val="5BAB0900"/>
    <w:rsid w:val="5D991188"/>
    <w:rsid w:val="648905D0"/>
    <w:rsid w:val="64FE491A"/>
    <w:rsid w:val="693715E8"/>
    <w:rsid w:val="699179DF"/>
    <w:rsid w:val="6A743F0A"/>
    <w:rsid w:val="7434554F"/>
    <w:rsid w:val="7BB96BA2"/>
    <w:rsid w:val="7FA306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semiHidden="0" w:uiPriority="0" w:unhideWhenUsed="0" w:qFormat="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semiHidden="0" w:uiPriority="0" w:unhideWhenUsed="0" w:qFormat="1"/>
    <w:lsdException w:name="line number" w:locked="1"/>
    <w:lsdException w:name="page number" w:locked="1"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qFormat="1"/>
    <w:lsdException w:name="Body Text" w:locked="1" w:semiHidden="0" w:unhideWhenUsed="0" w:qFormat="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semiHidden="0" w:unhideWhenUsed="0" w:qFormat="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iPriority="39" w:unhideWhenUsed="0" w:qFormat="1"/>
    <w:lsdException w:name="Table Theme" w:locked="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491"/>
    <w:pPr>
      <w:widowControl w:val="0"/>
      <w:jc w:val="both"/>
    </w:pPr>
    <w:rPr>
      <w:rFonts w:cs="Calibri"/>
      <w:kern w:val="2"/>
      <w:sz w:val="21"/>
      <w:szCs w:val="21"/>
    </w:rPr>
  </w:style>
  <w:style w:type="paragraph" w:styleId="1">
    <w:name w:val="heading 1"/>
    <w:basedOn w:val="a"/>
    <w:next w:val="a"/>
    <w:link w:val="1Char"/>
    <w:uiPriority w:val="99"/>
    <w:qFormat/>
    <w:locked/>
    <w:rsid w:val="005E4491"/>
    <w:pPr>
      <w:spacing w:before="100" w:beforeAutospacing="1" w:after="100" w:afterAutospacing="1"/>
      <w:jc w:val="left"/>
      <w:outlineLvl w:val="0"/>
    </w:pPr>
    <w:rPr>
      <w:rFonts w:ascii="宋体" w:cs="Times New Roman"/>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5E4491"/>
  </w:style>
  <w:style w:type="paragraph" w:styleId="a4">
    <w:name w:val="annotation text"/>
    <w:basedOn w:val="a"/>
    <w:link w:val="Char0"/>
    <w:qFormat/>
    <w:rsid w:val="005E4491"/>
    <w:pPr>
      <w:jc w:val="left"/>
    </w:pPr>
    <w:rPr>
      <w:rFonts w:cs="Times New Roman"/>
      <w:sz w:val="22"/>
      <w:szCs w:val="22"/>
    </w:rPr>
  </w:style>
  <w:style w:type="paragraph" w:styleId="a5">
    <w:name w:val="Body Text"/>
    <w:basedOn w:val="a"/>
    <w:link w:val="Char1"/>
    <w:uiPriority w:val="99"/>
    <w:qFormat/>
    <w:locked/>
    <w:rsid w:val="005E4491"/>
    <w:pPr>
      <w:widowControl/>
      <w:spacing w:line="259" w:lineRule="auto"/>
      <w:ind w:left="537" w:hanging="420"/>
      <w:jc w:val="left"/>
    </w:pPr>
    <w:rPr>
      <w:rFonts w:ascii="宋体" w:cs="Times New Roman"/>
      <w:kern w:val="0"/>
      <w:lang w:eastAsia="en-US"/>
    </w:rPr>
  </w:style>
  <w:style w:type="paragraph" w:styleId="a6">
    <w:name w:val="Body Text Indent"/>
    <w:basedOn w:val="a"/>
    <w:link w:val="Char10"/>
    <w:uiPriority w:val="99"/>
    <w:qFormat/>
    <w:rsid w:val="005E4491"/>
    <w:pPr>
      <w:adjustRightInd w:val="0"/>
      <w:snapToGrid w:val="0"/>
      <w:ind w:firstLineChars="200" w:firstLine="480"/>
    </w:pPr>
    <w:rPr>
      <w:rFonts w:ascii="Times New Roman" w:eastAsia="楷体_GB2312" w:hAnsi="Times New Roman" w:cs="Times New Roman"/>
      <w:sz w:val="24"/>
      <w:szCs w:val="24"/>
    </w:rPr>
  </w:style>
  <w:style w:type="paragraph" w:styleId="a7">
    <w:name w:val="Date"/>
    <w:basedOn w:val="a"/>
    <w:next w:val="a"/>
    <w:link w:val="Char2"/>
    <w:uiPriority w:val="99"/>
    <w:qFormat/>
    <w:rsid w:val="005E4491"/>
    <w:pPr>
      <w:ind w:leftChars="2500" w:left="100"/>
    </w:pPr>
  </w:style>
  <w:style w:type="paragraph" w:styleId="a8">
    <w:name w:val="Balloon Text"/>
    <w:basedOn w:val="a"/>
    <w:link w:val="Char3"/>
    <w:uiPriority w:val="99"/>
    <w:semiHidden/>
    <w:qFormat/>
    <w:rsid w:val="005E4491"/>
    <w:rPr>
      <w:rFonts w:cs="Times New Roman"/>
      <w:kern w:val="0"/>
      <w:sz w:val="18"/>
      <w:szCs w:val="18"/>
    </w:rPr>
  </w:style>
  <w:style w:type="paragraph" w:styleId="a9">
    <w:name w:val="footer"/>
    <w:basedOn w:val="a"/>
    <w:link w:val="Char4"/>
    <w:uiPriority w:val="99"/>
    <w:qFormat/>
    <w:rsid w:val="005E4491"/>
    <w:pPr>
      <w:tabs>
        <w:tab w:val="center" w:pos="4153"/>
        <w:tab w:val="right" w:pos="8306"/>
      </w:tabs>
      <w:snapToGrid w:val="0"/>
      <w:jc w:val="left"/>
    </w:pPr>
    <w:rPr>
      <w:rFonts w:cs="Times New Roman"/>
      <w:kern w:val="0"/>
      <w:sz w:val="18"/>
      <w:szCs w:val="18"/>
    </w:rPr>
  </w:style>
  <w:style w:type="paragraph" w:styleId="aa">
    <w:name w:val="header"/>
    <w:basedOn w:val="a"/>
    <w:link w:val="Char5"/>
    <w:uiPriority w:val="99"/>
    <w:qFormat/>
    <w:rsid w:val="005E4491"/>
    <w:pPr>
      <w:pBdr>
        <w:bottom w:val="single" w:sz="6" w:space="1" w:color="auto"/>
      </w:pBdr>
      <w:tabs>
        <w:tab w:val="center" w:pos="4153"/>
        <w:tab w:val="right" w:pos="8306"/>
      </w:tabs>
      <w:snapToGrid w:val="0"/>
      <w:jc w:val="center"/>
    </w:pPr>
    <w:rPr>
      <w:rFonts w:cs="Times New Roman"/>
      <w:kern w:val="0"/>
      <w:sz w:val="18"/>
      <w:szCs w:val="18"/>
    </w:rPr>
  </w:style>
  <w:style w:type="paragraph" w:styleId="ab">
    <w:name w:val="Subtitle"/>
    <w:basedOn w:val="a"/>
    <w:next w:val="a"/>
    <w:link w:val="Char11"/>
    <w:uiPriority w:val="99"/>
    <w:qFormat/>
    <w:rsid w:val="005E4491"/>
    <w:pPr>
      <w:spacing w:before="240" w:after="60" w:line="312" w:lineRule="auto"/>
      <w:jc w:val="center"/>
      <w:outlineLvl w:val="1"/>
    </w:pPr>
    <w:rPr>
      <w:rFonts w:ascii="Cambria" w:hAnsi="Cambria" w:cs="Times New Roman"/>
      <w:b/>
      <w:bCs/>
      <w:kern w:val="28"/>
      <w:sz w:val="32"/>
      <w:szCs w:val="32"/>
    </w:rPr>
  </w:style>
  <w:style w:type="character" w:styleId="ac">
    <w:name w:val="page number"/>
    <w:basedOn w:val="a0"/>
    <w:uiPriority w:val="99"/>
    <w:qFormat/>
    <w:locked/>
    <w:rsid w:val="005E4491"/>
  </w:style>
  <w:style w:type="character" w:styleId="ad">
    <w:name w:val="Hyperlink"/>
    <w:uiPriority w:val="99"/>
    <w:qFormat/>
    <w:rsid w:val="005E4491"/>
    <w:rPr>
      <w:color w:val="0000FF"/>
      <w:u w:val="single"/>
    </w:rPr>
  </w:style>
  <w:style w:type="character" w:styleId="ae">
    <w:name w:val="annotation reference"/>
    <w:qFormat/>
    <w:rsid w:val="005E4491"/>
    <w:rPr>
      <w:sz w:val="21"/>
      <w:szCs w:val="21"/>
    </w:rPr>
  </w:style>
  <w:style w:type="table" w:styleId="af">
    <w:name w:val="Table Grid"/>
    <w:basedOn w:val="a1"/>
    <w:uiPriority w:val="39"/>
    <w:qFormat/>
    <w:locked/>
    <w:rsid w:val="005E449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sid w:val="005E4491"/>
    <w:rPr>
      <w:rFonts w:ascii="宋体" w:eastAsia="宋体" w:cs="宋体"/>
      <w:b/>
      <w:bCs/>
      <w:kern w:val="44"/>
      <w:sz w:val="48"/>
      <w:szCs w:val="48"/>
    </w:rPr>
  </w:style>
  <w:style w:type="character" w:customStyle="1" w:styleId="Char0">
    <w:name w:val="批注文字 Char"/>
    <w:link w:val="a4"/>
    <w:qFormat/>
    <w:locked/>
    <w:rsid w:val="005E4491"/>
    <w:rPr>
      <w:kern w:val="2"/>
      <w:sz w:val="22"/>
      <w:szCs w:val="22"/>
    </w:rPr>
  </w:style>
  <w:style w:type="character" w:customStyle="1" w:styleId="Char">
    <w:name w:val="批注主题 Char"/>
    <w:link w:val="a3"/>
    <w:uiPriority w:val="99"/>
    <w:qFormat/>
    <w:locked/>
    <w:rsid w:val="005E4491"/>
    <w:rPr>
      <w:kern w:val="2"/>
      <w:sz w:val="22"/>
      <w:szCs w:val="22"/>
    </w:rPr>
  </w:style>
  <w:style w:type="character" w:customStyle="1" w:styleId="Char10">
    <w:name w:val="正文文本缩进 Char1"/>
    <w:basedOn w:val="a0"/>
    <w:link w:val="a6"/>
    <w:uiPriority w:val="99"/>
    <w:semiHidden/>
    <w:qFormat/>
    <w:locked/>
    <w:rsid w:val="005E4491"/>
  </w:style>
  <w:style w:type="character" w:customStyle="1" w:styleId="Char2">
    <w:name w:val="日期 Char"/>
    <w:basedOn w:val="a0"/>
    <w:link w:val="a7"/>
    <w:uiPriority w:val="99"/>
    <w:semiHidden/>
    <w:qFormat/>
    <w:locked/>
    <w:rsid w:val="005E4491"/>
  </w:style>
  <w:style w:type="character" w:customStyle="1" w:styleId="Char3">
    <w:name w:val="批注框文本 Char"/>
    <w:link w:val="a8"/>
    <w:uiPriority w:val="99"/>
    <w:semiHidden/>
    <w:qFormat/>
    <w:locked/>
    <w:rsid w:val="005E4491"/>
    <w:rPr>
      <w:sz w:val="18"/>
      <w:szCs w:val="18"/>
    </w:rPr>
  </w:style>
  <w:style w:type="character" w:customStyle="1" w:styleId="Char4">
    <w:name w:val="页脚 Char"/>
    <w:link w:val="a9"/>
    <w:uiPriority w:val="99"/>
    <w:qFormat/>
    <w:locked/>
    <w:rsid w:val="005E4491"/>
    <w:rPr>
      <w:sz w:val="18"/>
      <w:szCs w:val="18"/>
    </w:rPr>
  </w:style>
  <w:style w:type="character" w:customStyle="1" w:styleId="Char5">
    <w:name w:val="页眉 Char"/>
    <w:link w:val="aa"/>
    <w:uiPriority w:val="99"/>
    <w:qFormat/>
    <w:locked/>
    <w:rsid w:val="005E4491"/>
    <w:rPr>
      <w:sz w:val="18"/>
      <w:szCs w:val="18"/>
    </w:rPr>
  </w:style>
  <w:style w:type="character" w:customStyle="1" w:styleId="Char11">
    <w:name w:val="副标题 Char1"/>
    <w:link w:val="ab"/>
    <w:uiPriority w:val="99"/>
    <w:qFormat/>
    <w:locked/>
    <w:rsid w:val="005E4491"/>
    <w:rPr>
      <w:rFonts w:ascii="Cambria" w:eastAsia="宋体" w:hAnsi="Cambria" w:cs="Cambria"/>
      <w:b/>
      <w:bCs/>
      <w:kern w:val="28"/>
      <w:sz w:val="32"/>
      <w:szCs w:val="32"/>
    </w:rPr>
  </w:style>
  <w:style w:type="character" w:customStyle="1" w:styleId="Char6">
    <w:name w:val="副标题 Char"/>
    <w:uiPriority w:val="99"/>
    <w:qFormat/>
    <w:rsid w:val="005E4491"/>
    <w:rPr>
      <w:rFonts w:ascii="Cambria" w:eastAsia="宋体" w:hAnsi="Cambria" w:cs="Cambria"/>
      <w:b/>
      <w:bCs/>
      <w:kern w:val="28"/>
      <w:sz w:val="32"/>
      <w:szCs w:val="32"/>
    </w:rPr>
  </w:style>
  <w:style w:type="character" w:customStyle="1" w:styleId="Char7">
    <w:name w:val="正文文本缩进 Char"/>
    <w:uiPriority w:val="99"/>
    <w:qFormat/>
    <w:rsid w:val="005E4491"/>
    <w:rPr>
      <w:rFonts w:ascii="Times New Roman" w:eastAsia="楷体_GB2312" w:hAnsi="Times New Roman" w:cs="Times New Roman"/>
      <w:sz w:val="28"/>
      <w:szCs w:val="28"/>
    </w:rPr>
  </w:style>
  <w:style w:type="paragraph" w:customStyle="1" w:styleId="10">
    <w:name w:val="修订1"/>
    <w:hidden/>
    <w:uiPriority w:val="99"/>
    <w:qFormat/>
    <w:rsid w:val="005E4491"/>
    <w:rPr>
      <w:rFonts w:cs="Calibri"/>
      <w:kern w:val="2"/>
      <w:sz w:val="21"/>
      <w:szCs w:val="21"/>
    </w:rPr>
  </w:style>
  <w:style w:type="character" w:customStyle="1" w:styleId="2">
    <w:name w:val="正文文本 (2)_"/>
    <w:link w:val="21"/>
    <w:uiPriority w:val="99"/>
    <w:qFormat/>
    <w:locked/>
    <w:rsid w:val="005E4491"/>
    <w:rPr>
      <w:rFonts w:ascii="Times New Roman" w:hAnsi="Times New Roman" w:cs="Times New Roman"/>
      <w:shd w:val="clear" w:color="auto" w:fill="FFFFFF"/>
    </w:rPr>
  </w:style>
  <w:style w:type="paragraph" w:customStyle="1" w:styleId="21">
    <w:name w:val="正文文本 (2)1"/>
    <w:basedOn w:val="a"/>
    <w:link w:val="2"/>
    <w:uiPriority w:val="99"/>
    <w:qFormat/>
    <w:rsid w:val="005E4491"/>
    <w:pPr>
      <w:widowControl/>
      <w:shd w:val="clear" w:color="auto" w:fill="FFFFFF"/>
      <w:spacing w:after="480" w:line="254" w:lineRule="exact"/>
      <w:ind w:hanging="560"/>
      <w:jc w:val="left"/>
    </w:pPr>
    <w:rPr>
      <w:rFonts w:ascii="Times New Roman" w:hAnsi="Times New Roman" w:cs="Times New Roman"/>
      <w:kern w:val="0"/>
      <w:sz w:val="20"/>
      <w:szCs w:val="20"/>
    </w:rPr>
  </w:style>
  <w:style w:type="character" w:customStyle="1" w:styleId="Char1">
    <w:name w:val="正文文本 Char"/>
    <w:link w:val="a5"/>
    <w:uiPriority w:val="99"/>
    <w:qFormat/>
    <w:locked/>
    <w:rsid w:val="005E4491"/>
    <w:rPr>
      <w:rFonts w:ascii="宋体" w:eastAsia="宋体" w:cs="宋体"/>
      <w:sz w:val="21"/>
      <w:szCs w:val="21"/>
      <w:lang w:eastAsia="en-US"/>
    </w:rPr>
  </w:style>
  <w:style w:type="character" w:customStyle="1" w:styleId="BodyTextChar1">
    <w:name w:val="Body Text Char1"/>
    <w:uiPriority w:val="99"/>
    <w:semiHidden/>
    <w:qFormat/>
    <w:rsid w:val="005E4491"/>
    <w:rPr>
      <w:rFonts w:cs="Calibri"/>
      <w:szCs w:val="21"/>
    </w:rPr>
  </w:style>
  <w:style w:type="character" w:customStyle="1" w:styleId="Char12">
    <w:name w:val="正文文本 Char1"/>
    <w:uiPriority w:val="99"/>
    <w:semiHidden/>
    <w:qFormat/>
    <w:locked/>
    <w:rsid w:val="005E4491"/>
    <w:rPr>
      <w:kern w:val="2"/>
      <w:sz w:val="22"/>
      <w:szCs w:val="22"/>
    </w:rPr>
  </w:style>
  <w:style w:type="paragraph" w:styleId="af0">
    <w:name w:val="List Paragraph"/>
    <w:basedOn w:val="a"/>
    <w:uiPriority w:val="34"/>
    <w:qFormat/>
    <w:rsid w:val="005E4491"/>
    <w:pPr>
      <w:ind w:firstLineChars="200" w:firstLine="420"/>
    </w:pPr>
  </w:style>
  <w:style w:type="paragraph" w:customStyle="1" w:styleId="Default">
    <w:name w:val="Default"/>
    <w:uiPriority w:val="99"/>
    <w:qFormat/>
    <w:rsid w:val="005E4491"/>
    <w:pPr>
      <w:autoSpaceDE w:val="0"/>
      <w:autoSpaceDN w:val="0"/>
      <w:adjustRightInd w:val="0"/>
    </w:pPr>
    <w:rPr>
      <w:rFonts w:ascii="Shaker 2 Lancet" w:eastAsia="Shaker 2 Lancet" w:hAnsi="Arial" w:cs="Shaker 2 Lancet"/>
      <w:color w:val="000000"/>
      <w:sz w:val="24"/>
      <w:szCs w:val="24"/>
    </w:rPr>
  </w:style>
  <w:style w:type="character" w:customStyle="1" w:styleId="commonicon162">
    <w:name w:val="common_icon_162"/>
    <w:basedOn w:val="a0"/>
    <w:uiPriority w:val="99"/>
    <w:qFormat/>
    <w:rsid w:val="005E44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semiHidden="0" w:uiPriority="0" w:unhideWhenUsed="0" w:qFormat="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semiHidden="0" w:uiPriority="0" w:unhideWhenUsed="0" w:qFormat="1"/>
    <w:lsdException w:name="line number" w:locked="1"/>
    <w:lsdException w:name="page number" w:locked="1"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qFormat="1"/>
    <w:lsdException w:name="Body Text" w:locked="1" w:semiHidden="0" w:unhideWhenUsed="0" w:qFormat="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semiHidden="0" w:unhideWhenUsed="0" w:qFormat="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iPriority="39" w:unhideWhenUsed="0" w:qFormat="1"/>
    <w:lsdException w:name="Table Theme" w:locked="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491"/>
    <w:pPr>
      <w:widowControl w:val="0"/>
      <w:jc w:val="both"/>
    </w:pPr>
    <w:rPr>
      <w:rFonts w:cs="Calibri"/>
      <w:kern w:val="2"/>
      <w:sz w:val="21"/>
      <w:szCs w:val="21"/>
    </w:rPr>
  </w:style>
  <w:style w:type="paragraph" w:styleId="1">
    <w:name w:val="heading 1"/>
    <w:basedOn w:val="a"/>
    <w:next w:val="a"/>
    <w:link w:val="1Char"/>
    <w:uiPriority w:val="99"/>
    <w:qFormat/>
    <w:locked/>
    <w:rsid w:val="005E4491"/>
    <w:pPr>
      <w:spacing w:before="100" w:beforeAutospacing="1" w:after="100" w:afterAutospacing="1"/>
      <w:jc w:val="left"/>
      <w:outlineLvl w:val="0"/>
    </w:pPr>
    <w:rPr>
      <w:rFonts w:ascii="宋体" w:cs="Times New Roman"/>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5E4491"/>
  </w:style>
  <w:style w:type="paragraph" w:styleId="a4">
    <w:name w:val="annotation text"/>
    <w:basedOn w:val="a"/>
    <w:link w:val="Char0"/>
    <w:qFormat/>
    <w:rsid w:val="005E4491"/>
    <w:pPr>
      <w:jc w:val="left"/>
    </w:pPr>
    <w:rPr>
      <w:rFonts w:cs="Times New Roman"/>
      <w:sz w:val="22"/>
      <w:szCs w:val="22"/>
    </w:rPr>
  </w:style>
  <w:style w:type="paragraph" w:styleId="a5">
    <w:name w:val="Body Text"/>
    <w:basedOn w:val="a"/>
    <w:link w:val="Char1"/>
    <w:uiPriority w:val="99"/>
    <w:qFormat/>
    <w:locked/>
    <w:rsid w:val="005E4491"/>
    <w:pPr>
      <w:widowControl/>
      <w:spacing w:line="259" w:lineRule="auto"/>
      <w:ind w:left="537" w:hanging="420"/>
      <w:jc w:val="left"/>
    </w:pPr>
    <w:rPr>
      <w:rFonts w:ascii="宋体" w:cs="Times New Roman"/>
      <w:kern w:val="0"/>
      <w:lang w:eastAsia="en-US"/>
    </w:rPr>
  </w:style>
  <w:style w:type="paragraph" w:styleId="a6">
    <w:name w:val="Body Text Indent"/>
    <w:basedOn w:val="a"/>
    <w:link w:val="Char10"/>
    <w:uiPriority w:val="99"/>
    <w:qFormat/>
    <w:rsid w:val="005E4491"/>
    <w:pPr>
      <w:adjustRightInd w:val="0"/>
      <w:snapToGrid w:val="0"/>
      <w:ind w:firstLineChars="200" w:firstLine="480"/>
    </w:pPr>
    <w:rPr>
      <w:rFonts w:ascii="Times New Roman" w:eastAsia="楷体_GB2312" w:hAnsi="Times New Roman" w:cs="Times New Roman"/>
      <w:sz w:val="24"/>
      <w:szCs w:val="24"/>
    </w:rPr>
  </w:style>
  <w:style w:type="paragraph" w:styleId="a7">
    <w:name w:val="Date"/>
    <w:basedOn w:val="a"/>
    <w:next w:val="a"/>
    <w:link w:val="Char2"/>
    <w:uiPriority w:val="99"/>
    <w:qFormat/>
    <w:rsid w:val="005E4491"/>
    <w:pPr>
      <w:ind w:leftChars="2500" w:left="100"/>
    </w:pPr>
  </w:style>
  <w:style w:type="paragraph" w:styleId="a8">
    <w:name w:val="Balloon Text"/>
    <w:basedOn w:val="a"/>
    <w:link w:val="Char3"/>
    <w:uiPriority w:val="99"/>
    <w:semiHidden/>
    <w:qFormat/>
    <w:rsid w:val="005E4491"/>
    <w:rPr>
      <w:rFonts w:cs="Times New Roman"/>
      <w:kern w:val="0"/>
      <w:sz w:val="18"/>
      <w:szCs w:val="18"/>
    </w:rPr>
  </w:style>
  <w:style w:type="paragraph" w:styleId="a9">
    <w:name w:val="footer"/>
    <w:basedOn w:val="a"/>
    <w:link w:val="Char4"/>
    <w:uiPriority w:val="99"/>
    <w:qFormat/>
    <w:rsid w:val="005E4491"/>
    <w:pPr>
      <w:tabs>
        <w:tab w:val="center" w:pos="4153"/>
        <w:tab w:val="right" w:pos="8306"/>
      </w:tabs>
      <w:snapToGrid w:val="0"/>
      <w:jc w:val="left"/>
    </w:pPr>
    <w:rPr>
      <w:rFonts w:cs="Times New Roman"/>
      <w:kern w:val="0"/>
      <w:sz w:val="18"/>
      <w:szCs w:val="18"/>
    </w:rPr>
  </w:style>
  <w:style w:type="paragraph" w:styleId="aa">
    <w:name w:val="header"/>
    <w:basedOn w:val="a"/>
    <w:link w:val="Char5"/>
    <w:uiPriority w:val="99"/>
    <w:qFormat/>
    <w:rsid w:val="005E4491"/>
    <w:pPr>
      <w:pBdr>
        <w:bottom w:val="single" w:sz="6" w:space="1" w:color="auto"/>
      </w:pBdr>
      <w:tabs>
        <w:tab w:val="center" w:pos="4153"/>
        <w:tab w:val="right" w:pos="8306"/>
      </w:tabs>
      <w:snapToGrid w:val="0"/>
      <w:jc w:val="center"/>
    </w:pPr>
    <w:rPr>
      <w:rFonts w:cs="Times New Roman"/>
      <w:kern w:val="0"/>
      <w:sz w:val="18"/>
      <w:szCs w:val="18"/>
    </w:rPr>
  </w:style>
  <w:style w:type="paragraph" w:styleId="ab">
    <w:name w:val="Subtitle"/>
    <w:basedOn w:val="a"/>
    <w:next w:val="a"/>
    <w:link w:val="Char11"/>
    <w:uiPriority w:val="99"/>
    <w:qFormat/>
    <w:rsid w:val="005E4491"/>
    <w:pPr>
      <w:spacing w:before="240" w:after="60" w:line="312" w:lineRule="auto"/>
      <w:jc w:val="center"/>
      <w:outlineLvl w:val="1"/>
    </w:pPr>
    <w:rPr>
      <w:rFonts w:ascii="Cambria" w:hAnsi="Cambria" w:cs="Times New Roman"/>
      <w:b/>
      <w:bCs/>
      <w:kern w:val="28"/>
      <w:sz w:val="32"/>
      <w:szCs w:val="32"/>
    </w:rPr>
  </w:style>
  <w:style w:type="character" w:styleId="ac">
    <w:name w:val="page number"/>
    <w:basedOn w:val="a0"/>
    <w:uiPriority w:val="99"/>
    <w:qFormat/>
    <w:locked/>
    <w:rsid w:val="005E4491"/>
  </w:style>
  <w:style w:type="character" w:styleId="ad">
    <w:name w:val="Hyperlink"/>
    <w:uiPriority w:val="99"/>
    <w:qFormat/>
    <w:rsid w:val="005E4491"/>
    <w:rPr>
      <w:color w:val="0000FF"/>
      <w:u w:val="single"/>
    </w:rPr>
  </w:style>
  <w:style w:type="character" w:styleId="ae">
    <w:name w:val="annotation reference"/>
    <w:qFormat/>
    <w:rsid w:val="005E4491"/>
    <w:rPr>
      <w:sz w:val="21"/>
      <w:szCs w:val="21"/>
    </w:rPr>
  </w:style>
  <w:style w:type="table" w:styleId="af">
    <w:name w:val="Table Grid"/>
    <w:basedOn w:val="a1"/>
    <w:uiPriority w:val="39"/>
    <w:qFormat/>
    <w:locked/>
    <w:rsid w:val="005E449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sid w:val="005E4491"/>
    <w:rPr>
      <w:rFonts w:ascii="宋体" w:eastAsia="宋体" w:cs="宋体"/>
      <w:b/>
      <w:bCs/>
      <w:kern w:val="44"/>
      <w:sz w:val="48"/>
      <w:szCs w:val="48"/>
    </w:rPr>
  </w:style>
  <w:style w:type="character" w:customStyle="1" w:styleId="Char0">
    <w:name w:val="批注文字 Char"/>
    <w:link w:val="a4"/>
    <w:qFormat/>
    <w:locked/>
    <w:rsid w:val="005E4491"/>
    <w:rPr>
      <w:kern w:val="2"/>
      <w:sz w:val="22"/>
      <w:szCs w:val="22"/>
    </w:rPr>
  </w:style>
  <w:style w:type="character" w:customStyle="1" w:styleId="Char">
    <w:name w:val="批注主题 Char"/>
    <w:link w:val="a3"/>
    <w:uiPriority w:val="99"/>
    <w:qFormat/>
    <w:locked/>
    <w:rsid w:val="005E4491"/>
    <w:rPr>
      <w:kern w:val="2"/>
      <w:sz w:val="22"/>
      <w:szCs w:val="22"/>
    </w:rPr>
  </w:style>
  <w:style w:type="character" w:customStyle="1" w:styleId="Char10">
    <w:name w:val="正文文本缩进 Char1"/>
    <w:basedOn w:val="a0"/>
    <w:link w:val="a6"/>
    <w:uiPriority w:val="99"/>
    <w:semiHidden/>
    <w:qFormat/>
    <w:locked/>
    <w:rsid w:val="005E4491"/>
  </w:style>
  <w:style w:type="character" w:customStyle="1" w:styleId="Char2">
    <w:name w:val="日期 Char"/>
    <w:basedOn w:val="a0"/>
    <w:link w:val="a7"/>
    <w:uiPriority w:val="99"/>
    <w:semiHidden/>
    <w:qFormat/>
    <w:locked/>
    <w:rsid w:val="005E4491"/>
  </w:style>
  <w:style w:type="character" w:customStyle="1" w:styleId="Char3">
    <w:name w:val="批注框文本 Char"/>
    <w:link w:val="a8"/>
    <w:uiPriority w:val="99"/>
    <w:semiHidden/>
    <w:qFormat/>
    <w:locked/>
    <w:rsid w:val="005E4491"/>
    <w:rPr>
      <w:sz w:val="18"/>
      <w:szCs w:val="18"/>
    </w:rPr>
  </w:style>
  <w:style w:type="character" w:customStyle="1" w:styleId="Char4">
    <w:name w:val="页脚 Char"/>
    <w:link w:val="a9"/>
    <w:uiPriority w:val="99"/>
    <w:qFormat/>
    <w:locked/>
    <w:rsid w:val="005E4491"/>
    <w:rPr>
      <w:sz w:val="18"/>
      <w:szCs w:val="18"/>
    </w:rPr>
  </w:style>
  <w:style w:type="character" w:customStyle="1" w:styleId="Char5">
    <w:name w:val="页眉 Char"/>
    <w:link w:val="aa"/>
    <w:uiPriority w:val="99"/>
    <w:qFormat/>
    <w:locked/>
    <w:rsid w:val="005E4491"/>
    <w:rPr>
      <w:sz w:val="18"/>
      <w:szCs w:val="18"/>
    </w:rPr>
  </w:style>
  <w:style w:type="character" w:customStyle="1" w:styleId="Char11">
    <w:name w:val="副标题 Char1"/>
    <w:link w:val="ab"/>
    <w:uiPriority w:val="99"/>
    <w:qFormat/>
    <w:locked/>
    <w:rsid w:val="005E4491"/>
    <w:rPr>
      <w:rFonts w:ascii="Cambria" w:eastAsia="宋体" w:hAnsi="Cambria" w:cs="Cambria"/>
      <w:b/>
      <w:bCs/>
      <w:kern w:val="28"/>
      <w:sz w:val="32"/>
      <w:szCs w:val="32"/>
    </w:rPr>
  </w:style>
  <w:style w:type="character" w:customStyle="1" w:styleId="Char6">
    <w:name w:val="副标题 Char"/>
    <w:uiPriority w:val="99"/>
    <w:qFormat/>
    <w:rsid w:val="005E4491"/>
    <w:rPr>
      <w:rFonts w:ascii="Cambria" w:eastAsia="宋体" w:hAnsi="Cambria" w:cs="Cambria"/>
      <w:b/>
      <w:bCs/>
      <w:kern w:val="28"/>
      <w:sz w:val="32"/>
      <w:szCs w:val="32"/>
    </w:rPr>
  </w:style>
  <w:style w:type="character" w:customStyle="1" w:styleId="Char7">
    <w:name w:val="正文文本缩进 Char"/>
    <w:uiPriority w:val="99"/>
    <w:qFormat/>
    <w:rsid w:val="005E4491"/>
    <w:rPr>
      <w:rFonts w:ascii="Times New Roman" w:eastAsia="楷体_GB2312" w:hAnsi="Times New Roman" w:cs="Times New Roman"/>
      <w:sz w:val="28"/>
      <w:szCs w:val="28"/>
    </w:rPr>
  </w:style>
  <w:style w:type="paragraph" w:customStyle="1" w:styleId="10">
    <w:name w:val="修订1"/>
    <w:hidden/>
    <w:uiPriority w:val="99"/>
    <w:qFormat/>
    <w:rsid w:val="005E4491"/>
    <w:rPr>
      <w:rFonts w:cs="Calibri"/>
      <w:kern w:val="2"/>
      <w:sz w:val="21"/>
      <w:szCs w:val="21"/>
    </w:rPr>
  </w:style>
  <w:style w:type="character" w:customStyle="1" w:styleId="2">
    <w:name w:val="正文文本 (2)_"/>
    <w:link w:val="21"/>
    <w:uiPriority w:val="99"/>
    <w:qFormat/>
    <w:locked/>
    <w:rsid w:val="005E4491"/>
    <w:rPr>
      <w:rFonts w:ascii="Times New Roman" w:hAnsi="Times New Roman" w:cs="Times New Roman"/>
      <w:shd w:val="clear" w:color="auto" w:fill="FFFFFF"/>
    </w:rPr>
  </w:style>
  <w:style w:type="paragraph" w:customStyle="1" w:styleId="21">
    <w:name w:val="正文文本 (2)1"/>
    <w:basedOn w:val="a"/>
    <w:link w:val="2"/>
    <w:uiPriority w:val="99"/>
    <w:qFormat/>
    <w:rsid w:val="005E4491"/>
    <w:pPr>
      <w:widowControl/>
      <w:shd w:val="clear" w:color="auto" w:fill="FFFFFF"/>
      <w:spacing w:after="480" w:line="254" w:lineRule="exact"/>
      <w:ind w:hanging="560"/>
      <w:jc w:val="left"/>
    </w:pPr>
    <w:rPr>
      <w:rFonts w:ascii="Times New Roman" w:hAnsi="Times New Roman" w:cs="Times New Roman"/>
      <w:kern w:val="0"/>
      <w:sz w:val="20"/>
      <w:szCs w:val="20"/>
    </w:rPr>
  </w:style>
  <w:style w:type="character" w:customStyle="1" w:styleId="Char1">
    <w:name w:val="正文文本 Char"/>
    <w:link w:val="a5"/>
    <w:uiPriority w:val="99"/>
    <w:qFormat/>
    <w:locked/>
    <w:rsid w:val="005E4491"/>
    <w:rPr>
      <w:rFonts w:ascii="宋体" w:eastAsia="宋体" w:cs="宋体"/>
      <w:sz w:val="21"/>
      <w:szCs w:val="21"/>
      <w:lang w:eastAsia="en-US"/>
    </w:rPr>
  </w:style>
  <w:style w:type="character" w:customStyle="1" w:styleId="BodyTextChar1">
    <w:name w:val="Body Text Char1"/>
    <w:uiPriority w:val="99"/>
    <w:semiHidden/>
    <w:qFormat/>
    <w:rsid w:val="005E4491"/>
    <w:rPr>
      <w:rFonts w:cs="Calibri"/>
      <w:szCs w:val="21"/>
    </w:rPr>
  </w:style>
  <w:style w:type="character" w:customStyle="1" w:styleId="Char12">
    <w:name w:val="正文文本 Char1"/>
    <w:uiPriority w:val="99"/>
    <w:semiHidden/>
    <w:qFormat/>
    <w:locked/>
    <w:rsid w:val="005E4491"/>
    <w:rPr>
      <w:kern w:val="2"/>
      <w:sz w:val="22"/>
      <w:szCs w:val="22"/>
    </w:rPr>
  </w:style>
  <w:style w:type="paragraph" w:styleId="af0">
    <w:name w:val="List Paragraph"/>
    <w:basedOn w:val="a"/>
    <w:uiPriority w:val="34"/>
    <w:qFormat/>
    <w:rsid w:val="005E4491"/>
    <w:pPr>
      <w:ind w:firstLineChars="200" w:firstLine="420"/>
    </w:pPr>
  </w:style>
  <w:style w:type="paragraph" w:customStyle="1" w:styleId="Default">
    <w:name w:val="Default"/>
    <w:uiPriority w:val="99"/>
    <w:qFormat/>
    <w:rsid w:val="005E4491"/>
    <w:pPr>
      <w:autoSpaceDE w:val="0"/>
      <w:autoSpaceDN w:val="0"/>
      <w:adjustRightInd w:val="0"/>
    </w:pPr>
    <w:rPr>
      <w:rFonts w:ascii="Shaker 2 Lancet" w:eastAsia="Shaker 2 Lancet" w:hAnsi="Arial" w:cs="Shaker 2 Lancet"/>
      <w:color w:val="000000"/>
      <w:sz w:val="24"/>
      <w:szCs w:val="24"/>
    </w:rPr>
  </w:style>
  <w:style w:type="character" w:customStyle="1" w:styleId="commonicon162">
    <w:name w:val="common_icon_162"/>
    <w:basedOn w:val="a0"/>
    <w:uiPriority w:val="99"/>
    <w:qFormat/>
    <w:rsid w:val="005E4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www.4ge4.com/aizheng/xinyao/49323.html"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EC443B-A5FE-4C0D-8164-EF52C0118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7507</Words>
  <Characters>42793</Characters>
  <Application>Microsoft Office Word</Application>
  <DocSecurity>0</DocSecurity>
  <Lines>356</Lines>
  <Paragraphs>100</Paragraphs>
  <ScaleCrop>false</ScaleCrop>
  <Company>user</Company>
  <LinksUpToDate>false</LinksUpToDate>
  <CharactersWithSpaces>50200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MC SYSTEM</cp:lastModifiedBy>
  <cp:revision>2</cp:revision>
  <cp:lastPrinted>2019-12-24T02:50:00Z</cp:lastPrinted>
  <dcterms:created xsi:type="dcterms:W3CDTF">2019-12-24T06:39:00Z</dcterms:created>
  <dcterms:modified xsi:type="dcterms:W3CDTF">2019-12-24T06:39:00Z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2052-10.1.0.7448</vt:lpwstr>
  </property>
</Properties>
</file>